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7AE" w:rsidRPr="00DB44DC" w:rsidRDefault="00637FD9" w:rsidP="009013E3">
      <w:pPr>
        <w:tabs>
          <w:tab w:val="left" w:pos="1134"/>
        </w:tabs>
        <w:jc w:val="both"/>
        <w:rPr>
          <w:rFonts w:cs="Arial"/>
        </w:rPr>
      </w:pPr>
      <w:r w:rsidRPr="00637FD9">
        <w:rPr>
          <w:rFonts w:cs="Arial"/>
          <w:noProof/>
          <w:lang w:val="en-US"/>
        </w:rPr>
        <w:pict>
          <v:shapetype id="_x0000_t202" coordsize="21600,21600" o:spt="202" path="m,l,21600r21600,l21600,xe">
            <v:stroke joinstyle="miter"/>
            <v:path gradientshapeok="t" o:connecttype="rect"/>
          </v:shapetype>
          <v:shape id="_x0000_s1029" type="#_x0000_t202" style="position:absolute;left:0;text-align:left;margin-left:-13.95pt;margin-top:15.9pt;width:491.4pt;height:295.05pt;z-index:251661312" filled="f" stroked="f">
            <v:textbox style="mso-next-textbox:#_x0000_s1029">
              <w:txbxContent>
                <w:p w:rsidR="00935B0B" w:rsidRDefault="00935B0B" w:rsidP="00D067AE">
                  <w:pPr>
                    <w:pStyle w:val="text"/>
                    <w:tabs>
                      <w:tab w:val="clear" w:pos="4320"/>
                      <w:tab w:val="clear" w:pos="8640"/>
                      <w:tab w:val="center" w:pos="13875"/>
                      <w:tab w:val="right" w:pos="27750"/>
                    </w:tabs>
                    <w:spacing w:before="0"/>
                    <w:rPr>
                      <w:rFonts w:ascii="Arial" w:hAnsi="Arial" w:cs="Arial"/>
                      <w:color w:val="FFFFFF"/>
                      <w:sz w:val="103"/>
                      <w:szCs w:val="103"/>
                    </w:rPr>
                  </w:pPr>
                  <w:r>
                    <w:rPr>
                      <w:rFonts w:ascii="Arial" w:hAnsi="Arial" w:cs="Arial"/>
                      <w:color w:val="FFFFFF"/>
                      <w:sz w:val="103"/>
                      <w:szCs w:val="103"/>
                    </w:rPr>
                    <w:t xml:space="preserve">Glenorchy to Hobart </w:t>
                  </w:r>
                  <w:proofErr w:type="spellStart"/>
                  <w:r>
                    <w:rPr>
                      <w:rFonts w:ascii="Arial" w:hAnsi="Arial" w:cs="Arial"/>
                      <w:color w:val="FFFFFF"/>
                      <w:sz w:val="103"/>
                      <w:szCs w:val="103"/>
                    </w:rPr>
                    <w:t>CBD</w:t>
                  </w:r>
                  <w:proofErr w:type="spellEnd"/>
                  <w:r>
                    <w:rPr>
                      <w:rFonts w:ascii="Arial" w:hAnsi="Arial" w:cs="Arial"/>
                      <w:color w:val="FFFFFF"/>
                      <w:sz w:val="103"/>
                      <w:szCs w:val="103"/>
                    </w:rPr>
                    <w:t xml:space="preserve"> Transit Corridor </w:t>
                  </w:r>
                </w:p>
                <w:p w:rsidR="00935B0B" w:rsidRPr="000A0284" w:rsidRDefault="00935B0B" w:rsidP="00D067AE">
                  <w:pPr>
                    <w:pStyle w:val="text"/>
                    <w:tabs>
                      <w:tab w:val="clear" w:pos="4320"/>
                      <w:tab w:val="clear" w:pos="8640"/>
                      <w:tab w:val="center" w:pos="13875"/>
                      <w:tab w:val="right" w:pos="27750"/>
                    </w:tabs>
                    <w:spacing w:before="0"/>
                    <w:rPr>
                      <w:rFonts w:ascii="Arial" w:hAnsi="Arial" w:cs="Arial"/>
                      <w:color w:val="FFFFFF"/>
                      <w:sz w:val="40"/>
                      <w:szCs w:val="40"/>
                    </w:rPr>
                  </w:pPr>
                  <w:r>
                    <w:rPr>
                      <w:rFonts w:ascii="Arial" w:hAnsi="Arial" w:cs="Arial"/>
                      <w:color w:val="FFFFFF"/>
                      <w:sz w:val="40"/>
                      <w:szCs w:val="40"/>
                    </w:rPr>
                    <w:t>Transit Corridor Assessment Report – Stage one</w:t>
                  </w:r>
                </w:p>
                <w:p w:rsidR="00935B0B" w:rsidRDefault="00935B0B" w:rsidP="0006462B">
                  <w:pPr>
                    <w:pStyle w:val="text"/>
                    <w:tabs>
                      <w:tab w:val="clear" w:pos="4320"/>
                      <w:tab w:val="clear" w:pos="8640"/>
                      <w:tab w:val="center" w:pos="13875"/>
                      <w:tab w:val="right" w:pos="27750"/>
                    </w:tabs>
                    <w:spacing w:before="0"/>
                    <w:rPr>
                      <w:rFonts w:ascii="Arial" w:hAnsi="Arial" w:cs="Arial"/>
                      <w:color w:val="FFFFFF"/>
                      <w:sz w:val="51"/>
                      <w:szCs w:val="51"/>
                    </w:rPr>
                  </w:pPr>
                </w:p>
                <w:p w:rsidR="00935B0B" w:rsidRPr="00A9611B" w:rsidRDefault="00935B0B" w:rsidP="0006462B">
                  <w:pPr>
                    <w:pStyle w:val="text"/>
                    <w:tabs>
                      <w:tab w:val="clear" w:pos="4320"/>
                      <w:tab w:val="clear" w:pos="8640"/>
                      <w:tab w:val="center" w:pos="13875"/>
                      <w:tab w:val="right" w:pos="27750"/>
                    </w:tabs>
                    <w:spacing w:before="0"/>
                    <w:rPr>
                      <w:rFonts w:ascii="Arial" w:hAnsi="Arial" w:cs="Arial"/>
                      <w:color w:val="FFFFFF"/>
                      <w:sz w:val="51"/>
                      <w:szCs w:val="51"/>
                    </w:rPr>
                  </w:pPr>
                  <w:r>
                    <w:rPr>
                      <w:rFonts w:ascii="Arial" w:hAnsi="Arial" w:cs="Arial"/>
                      <w:color w:val="FFFFFF"/>
                      <w:sz w:val="51"/>
                      <w:szCs w:val="51"/>
                    </w:rPr>
                    <w:t>Demographic Influences and Travel Patterns</w:t>
                  </w:r>
                </w:p>
                <w:p w:rsidR="00935B0B" w:rsidRPr="00A9611B" w:rsidRDefault="00935B0B" w:rsidP="00D067AE">
                  <w:pPr>
                    <w:pStyle w:val="text"/>
                    <w:tabs>
                      <w:tab w:val="clear" w:pos="4320"/>
                      <w:tab w:val="clear" w:pos="8640"/>
                      <w:tab w:val="center" w:pos="13875"/>
                      <w:tab w:val="right" w:pos="27750"/>
                    </w:tabs>
                    <w:spacing w:before="0"/>
                    <w:rPr>
                      <w:rFonts w:ascii="Arial" w:hAnsi="Arial" w:cs="Arial"/>
                      <w:color w:val="FFFFFF"/>
                      <w:sz w:val="103"/>
                      <w:szCs w:val="103"/>
                    </w:rPr>
                  </w:pPr>
                </w:p>
                <w:p w:rsidR="00935B0B" w:rsidRPr="00A9611B" w:rsidRDefault="00935B0B" w:rsidP="00D067AE">
                  <w:pPr>
                    <w:pStyle w:val="text"/>
                    <w:tabs>
                      <w:tab w:val="clear" w:pos="4320"/>
                      <w:tab w:val="clear" w:pos="8640"/>
                      <w:tab w:val="center" w:pos="13875"/>
                      <w:tab w:val="right" w:pos="27750"/>
                    </w:tabs>
                    <w:spacing w:before="0"/>
                    <w:rPr>
                      <w:rFonts w:ascii="Arial" w:hAnsi="Arial" w:cs="Arial"/>
                      <w:color w:val="FFFFFF"/>
                      <w:sz w:val="51"/>
                      <w:szCs w:val="51"/>
                    </w:rPr>
                  </w:pPr>
                </w:p>
                <w:p w:rsidR="00935B0B" w:rsidRPr="00A9611B" w:rsidRDefault="00935B0B" w:rsidP="00D067AE">
                  <w:pPr>
                    <w:pStyle w:val="text"/>
                    <w:tabs>
                      <w:tab w:val="clear" w:pos="4320"/>
                      <w:tab w:val="clear" w:pos="8640"/>
                      <w:tab w:val="center" w:pos="13875"/>
                      <w:tab w:val="right" w:pos="27750"/>
                    </w:tabs>
                    <w:spacing w:before="0"/>
                    <w:rPr>
                      <w:rFonts w:ascii="Arial" w:hAnsi="Arial" w:cs="Arial"/>
                      <w:color w:val="FFFFFF"/>
                      <w:sz w:val="51"/>
                      <w:szCs w:val="51"/>
                    </w:rPr>
                  </w:pPr>
                  <w:r>
                    <w:rPr>
                      <w:rFonts w:ascii="Arial" w:hAnsi="Arial" w:cs="Arial"/>
                      <w:color w:val="FFFFFF"/>
                      <w:sz w:val="51"/>
                      <w:szCs w:val="51"/>
                    </w:rPr>
                    <w:t>Summary report</w:t>
                  </w:r>
                </w:p>
              </w:txbxContent>
            </v:textbox>
          </v:shape>
        </w:pict>
      </w:r>
      <w:r w:rsidR="00DC148D" w:rsidRPr="00DC148D">
        <w:rPr>
          <w:rFonts w:cs="Arial"/>
          <w:noProof/>
          <w:lang w:eastAsia="en-AU"/>
        </w:rPr>
        <w:drawing>
          <wp:anchor distT="0" distB="0" distL="114300" distR="114300" simplePos="0" relativeHeight="251686912" behindDoc="1" locked="0" layoutInCell="1" allowOverlap="1">
            <wp:simplePos x="0" y="0"/>
            <wp:positionH relativeFrom="page">
              <wp:posOffset>-118973</wp:posOffset>
            </wp:positionH>
            <wp:positionV relativeFrom="page">
              <wp:posOffset>-146649</wp:posOffset>
            </wp:positionV>
            <wp:extent cx="7675713" cy="10834777"/>
            <wp:effectExtent l="19050" t="0" r="0" b="0"/>
            <wp:wrapNone/>
            <wp:docPr id="4" name="Picture 10" descr="A3f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3fp6"/>
                    <pic:cNvPicPr>
                      <a:picLocks noChangeAspect="1" noChangeArrowheads="1"/>
                    </pic:cNvPicPr>
                  </pic:nvPicPr>
                  <pic:blipFill>
                    <a:blip r:embed="rId8" cstate="print"/>
                    <a:srcRect/>
                    <a:stretch>
                      <a:fillRect/>
                    </a:stretch>
                  </pic:blipFill>
                  <pic:spPr bwMode="auto">
                    <a:xfrm>
                      <a:off x="0" y="0"/>
                      <a:ext cx="7677653" cy="10836323"/>
                    </a:xfrm>
                    <a:prstGeom prst="rect">
                      <a:avLst/>
                    </a:prstGeom>
                    <a:noFill/>
                    <a:ln w="9525">
                      <a:noFill/>
                      <a:miter lim="800000"/>
                      <a:headEnd/>
                      <a:tailEnd/>
                    </a:ln>
                  </pic:spPr>
                </pic:pic>
              </a:graphicData>
            </a:graphic>
          </wp:anchor>
        </w:drawing>
      </w:r>
    </w:p>
    <w:p w:rsidR="00D067AE" w:rsidRPr="00DB44DC" w:rsidRDefault="00D067AE" w:rsidP="00126BC8">
      <w:pPr>
        <w:jc w:val="both"/>
        <w:rPr>
          <w:rFonts w:cs="Arial"/>
        </w:rPr>
      </w:pPr>
    </w:p>
    <w:p w:rsidR="00D067AE" w:rsidRPr="00DB44DC" w:rsidRDefault="00637FD9" w:rsidP="00126BC8">
      <w:pPr>
        <w:jc w:val="both"/>
        <w:rPr>
          <w:rFonts w:cs="Arial"/>
        </w:rPr>
      </w:pPr>
      <w:r w:rsidRPr="00637FD9">
        <w:rPr>
          <w:rFonts w:cs="Arial"/>
          <w:noProof/>
          <w:lang w:val="en-US" w:eastAsia="zh-TW"/>
        </w:rPr>
        <w:pict>
          <v:shape id="_x0000_s1036" type="#_x0000_t202" style="position:absolute;left:0;text-align:left;margin-left:-10.2pt;margin-top:478.65pt;width:180.45pt;height:38.35pt;z-index:251684864;mso-width-percent:400;mso-height-percent:200;mso-width-percent:400;mso-height-percent:200;mso-width-relative:margin;mso-height-relative:margin" filled="f" stroked="f">
            <v:textbox style="mso-fit-shape-to-text:t">
              <w:txbxContent>
                <w:p w:rsidR="00935B0B" w:rsidRPr="003145A9" w:rsidRDefault="00935B0B">
                  <w:pPr>
                    <w:rPr>
                      <w:b/>
                      <w:color w:val="FFFFFF" w:themeColor="background1"/>
                      <w:sz w:val="32"/>
                      <w:szCs w:val="32"/>
                    </w:rPr>
                  </w:pPr>
                  <w:r>
                    <w:rPr>
                      <w:b/>
                      <w:color w:val="FFFFFF" w:themeColor="background1"/>
                      <w:sz w:val="32"/>
                      <w:szCs w:val="32"/>
                    </w:rPr>
                    <w:t>July 2012</w:t>
                  </w:r>
                </w:p>
              </w:txbxContent>
            </v:textbox>
          </v:shape>
        </w:pict>
      </w:r>
      <w:r w:rsidRPr="00637FD9">
        <w:rPr>
          <w:rFonts w:cs="Arial"/>
          <w:noProof/>
          <w:lang w:val="en-US"/>
        </w:rPr>
        <w:pict>
          <v:shape id="_x0000_s1030" type="#_x0000_t202" style="position:absolute;left:0;text-align:left;margin-left:-58.95pt;margin-top:652.65pt;width:297pt;height:51.45pt;z-index:251662336" filled="f" stroked="f">
            <v:textbox style="mso-next-textbox:#_x0000_s1030">
              <w:txbxContent>
                <w:p w:rsidR="00935B0B" w:rsidRDefault="00935B0B" w:rsidP="00D067AE">
                  <w:pPr>
                    <w:pStyle w:val="Noparagraphstyle"/>
                    <w:rPr>
                      <w:rFonts w:ascii="GillSans-Light" w:hAnsi="GillSans-Light"/>
                      <w:spacing w:val="31"/>
                      <w:sz w:val="31"/>
                      <w:szCs w:val="31"/>
                    </w:rPr>
                  </w:pPr>
                  <w:r>
                    <w:rPr>
                      <w:rFonts w:ascii="GillSans-Light" w:hAnsi="GillSans-Light"/>
                      <w:spacing w:val="31"/>
                      <w:sz w:val="31"/>
                      <w:szCs w:val="31"/>
                    </w:rPr>
                    <w:t>Department of Infrastructure, Energy and Resources</w:t>
                  </w:r>
                </w:p>
              </w:txbxContent>
            </v:textbox>
          </v:shape>
        </w:pict>
      </w:r>
      <w:r w:rsidR="00D067AE" w:rsidRPr="00DB44DC">
        <w:rPr>
          <w:rFonts w:cs="Arial"/>
        </w:rPr>
        <w:br w:type="page"/>
      </w:r>
    </w:p>
    <w:p w:rsidR="005D1289" w:rsidRDefault="005D1289" w:rsidP="005D1289">
      <w:pPr>
        <w:pStyle w:val="Heading1"/>
        <w:numPr>
          <w:ilvl w:val="0"/>
          <w:numId w:val="0"/>
        </w:numPr>
        <w:ind w:left="432" w:hanging="432"/>
      </w:pPr>
      <w:bookmarkStart w:id="0" w:name="_Toc329331927"/>
      <w:bookmarkStart w:id="1" w:name="OLE_LINK48"/>
      <w:bookmarkStart w:id="2" w:name="OLE_LINK49"/>
      <w:r>
        <w:lastRenderedPageBreak/>
        <w:t>content</w:t>
      </w:r>
      <w:r w:rsidR="00B73FDE">
        <w:t>S</w:t>
      </w:r>
      <w:bookmarkEnd w:id="0"/>
    </w:p>
    <w:p w:rsidR="00BC679D" w:rsidRDefault="00637FD9">
      <w:pPr>
        <w:pStyle w:val="TOC1"/>
        <w:tabs>
          <w:tab w:val="right" w:leader="dot" w:pos="9016"/>
        </w:tabs>
        <w:rPr>
          <w:rFonts w:asciiTheme="minorHAnsi" w:eastAsiaTheme="minorEastAsia" w:hAnsiTheme="minorHAnsi"/>
          <w:noProof/>
          <w:lang w:eastAsia="en-AU"/>
        </w:rPr>
      </w:pPr>
      <w:r>
        <w:fldChar w:fldCharType="begin"/>
      </w:r>
      <w:r w:rsidR="00B73FDE">
        <w:instrText xml:space="preserve"> TOC \o "1-3" \h \z \u </w:instrText>
      </w:r>
      <w:r>
        <w:fldChar w:fldCharType="separate"/>
      </w:r>
      <w:hyperlink w:anchor="_Toc329331927" w:history="1">
        <w:r w:rsidR="00BC679D" w:rsidRPr="00B3483F">
          <w:rPr>
            <w:rStyle w:val="Hyperlink"/>
            <w:noProof/>
          </w:rPr>
          <w:t>contentS</w:t>
        </w:r>
        <w:r w:rsidR="00BC679D">
          <w:rPr>
            <w:noProof/>
            <w:webHidden/>
          </w:rPr>
          <w:tab/>
        </w:r>
        <w:r>
          <w:rPr>
            <w:noProof/>
            <w:webHidden/>
          </w:rPr>
          <w:fldChar w:fldCharType="begin"/>
        </w:r>
        <w:r w:rsidR="00BC679D">
          <w:rPr>
            <w:noProof/>
            <w:webHidden/>
          </w:rPr>
          <w:instrText xml:space="preserve"> PAGEREF _Toc329331927 \h </w:instrText>
        </w:r>
        <w:r>
          <w:rPr>
            <w:noProof/>
            <w:webHidden/>
          </w:rPr>
        </w:r>
        <w:r>
          <w:rPr>
            <w:noProof/>
            <w:webHidden/>
          </w:rPr>
          <w:fldChar w:fldCharType="separate"/>
        </w:r>
        <w:r w:rsidR="00361A55">
          <w:rPr>
            <w:noProof/>
            <w:webHidden/>
          </w:rPr>
          <w:t>2</w:t>
        </w:r>
        <w:r>
          <w:rPr>
            <w:noProof/>
            <w:webHidden/>
          </w:rPr>
          <w:fldChar w:fldCharType="end"/>
        </w:r>
      </w:hyperlink>
    </w:p>
    <w:p w:rsidR="00BC679D" w:rsidRDefault="00637FD9">
      <w:pPr>
        <w:pStyle w:val="TOC1"/>
        <w:tabs>
          <w:tab w:val="left" w:pos="440"/>
          <w:tab w:val="right" w:leader="dot" w:pos="9016"/>
        </w:tabs>
        <w:rPr>
          <w:rFonts w:asciiTheme="minorHAnsi" w:eastAsiaTheme="minorEastAsia" w:hAnsiTheme="minorHAnsi"/>
          <w:noProof/>
          <w:lang w:eastAsia="en-AU"/>
        </w:rPr>
      </w:pPr>
      <w:hyperlink w:anchor="_Toc329331928" w:history="1">
        <w:r w:rsidR="00BC679D" w:rsidRPr="00B3483F">
          <w:rPr>
            <w:rStyle w:val="Hyperlink"/>
            <w:noProof/>
          </w:rPr>
          <w:t>1</w:t>
        </w:r>
        <w:r w:rsidR="00BC679D">
          <w:rPr>
            <w:rFonts w:asciiTheme="minorHAnsi" w:eastAsiaTheme="minorEastAsia" w:hAnsiTheme="minorHAnsi"/>
            <w:noProof/>
            <w:lang w:eastAsia="en-AU"/>
          </w:rPr>
          <w:tab/>
        </w:r>
        <w:r w:rsidR="00BC679D" w:rsidRPr="00B3483F">
          <w:rPr>
            <w:rStyle w:val="Hyperlink"/>
            <w:noProof/>
          </w:rPr>
          <w:t>Key points</w:t>
        </w:r>
        <w:r w:rsidR="00BC679D">
          <w:rPr>
            <w:noProof/>
            <w:webHidden/>
          </w:rPr>
          <w:tab/>
        </w:r>
        <w:r>
          <w:rPr>
            <w:noProof/>
            <w:webHidden/>
          </w:rPr>
          <w:fldChar w:fldCharType="begin"/>
        </w:r>
        <w:r w:rsidR="00BC679D">
          <w:rPr>
            <w:noProof/>
            <w:webHidden/>
          </w:rPr>
          <w:instrText xml:space="preserve"> PAGEREF _Toc329331928 \h </w:instrText>
        </w:r>
        <w:r>
          <w:rPr>
            <w:noProof/>
            <w:webHidden/>
          </w:rPr>
        </w:r>
        <w:r>
          <w:rPr>
            <w:noProof/>
            <w:webHidden/>
          </w:rPr>
          <w:fldChar w:fldCharType="separate"/>
        </w:r>
        <w:r w:rsidR="00361A55">
          <w:rPr>
            <w:noProof/>
            <w:webHidden/>
          </w:rPr>
          <w:t>3</w:t>
        </w:r>
        <w:r>
          <w:rPr>
            <w:noProof/>
            <w:webHidden/>
          </w:rPr>
          <w:fldChar w:fldCharType="end"/>
        </w:r>
      </w:hyperlink>
    </w:p>
    <w:p w:rsidR="00BC679D" w:rsidRDefault="00637FD9">
      <w:pPr>
        <w:pStyle w:val="TOC1"/>
        <w:tabs>
          <w:tab w:val="left" w:pos="440"/>
          <w:tab w:val="right" w:leader="dot" w:pos="9016"/>
        </w:tabs>
        <w:rPr>
          <w:rFonts w:asciiTheme="minorHAnsi" w:eastAsiaTheme="minorEastAsia" w:hAnsiTheme="minorHAnsi"/>
          <w:noProof/>
          <w:lang w:eastAsia="en-AU"/>
        </w:rPr>
      </w:pPr>
      <w:hyperlink w:anchor="_Toc329331929" w:history="1">
        <w:r w:rsidR="00BC679D" w:rsidRPr="00B3483F">
          <w:rPr>
            <w:rStyle w:val="Hyperlink"/>
            <w:noProof/>
          </w:rPr>
          <w:t>2</w:t>
        </w:r>
        <w:r w:rsidR="00BC679D">
          <w:rPr>
            <w:rFonts w:asciiTheme="minorHAnsi" w:eastAsiaTheme="minorEastAsia" w:hAnsiTheme="minorHAnsi"/>
            <w:noProof/>
            <w:lang w:eastAsia="en-AU"/>
          </w:rPr>
          <w:tab/>
        </w:r>
        <w:r w:rsidR="00BC679D" w:rsidRPr="00B3483F">
          <w:rPr>
            <w:rStyle w:val="Hyperlink"/>
            <w:noProof/>
          </w:rPr>
          <w:t>Demographic Influences</w:t>
        </w:r>
        <w:r w:rsidR="00BC679D">
          <w:rPr>
            <w:noProof/>
            <w:webHidden/>
          </w:rPr>
          <w:tab/>
        </w:r>
        <w:r>
          <w:rPr>
            <w:noProof/>
            <w:webHidden/>
          </w:rPr>
          <w:fldChar w:fldCharType="begin"/>
        </w:r>
        <w:r w:rsidR="00BC679D">
          <w:rPr>
            <w:noProof/>
            <w:webHidden/>
          </w:rPr>
          <w:instrText xml:space="preserve"> PAGEREF _Toc329331929 \h </w:instrText>
        </w:r>
        <w:r>
          <w:rPr>
            <w:noProof/>
            <w:webHidden/>
          </w:rPr>
        </w:r>
        <w:r>
          <w:rPr>
            <w:noProof/>
            <w:webHidden/>
          </w:rPr>
          <w:fldChar w:fldCharType="separate"/>
        </w:r>
        <w:r w:rsidR="00361A55">
          <w:rPr>
            <w:noProof/>
            <w:webHidden/>
          </w:rPr>
          <w:t>4</w:t>
        </w:r>
        <w:r>
          <w:rPr>
            <w:noProof/>
            <w:webHidden/>
          </w:rPr>
          <w:fldChar w:fldCharType="end"/>
        </w:r>
      </w:hyperlink>
    </w:p>
    <w:p w:rsidR="00BC679D" w:rsidRDefault="00637FD9">
      <w:pPr>
        <w:pStyle w:val="TOC2"/>
        <w:tabs>
          <w:tab w:val="left" w:pos="880"/>
          <w:tab w:val="right" w:leader="dot" w:pos="9016"/>
        </w:tabs>
        <w:rPr>
          <w:rFonts w:asciiTheme="minorHAnsi" w:eastAsiaTheme="minorEastAsia" w:hAnsiTheme="minorHAnsi"/>
          <w:noProof/>
          <w:lang w:eastAsia="en-AU"/>
        </w:rPr>
      </w:pPr>
      <w:hyperlink w:anchor="_Toc329331930" w:history="1">
        <w:r w:rsidR="00BC679D" w:rsidRPr="00B3483F">
          <w:rPr>
            <w:rStyle w:val="Hyperlink"/>
            <w:noProof/>
          </w:rPr>
          <w:t>2.1</w:t>
        </w:r>
        <w:r w:rsidR="00BC679D">
          <w:rPr>
            <w:rFonts w:asciiTheme="minorHAnsi" w:eastAsiaTheme="minorEastAsia" w:hAnsiTheme="minorHAnsi"/>
            <w:noProof/>
            <w:lang w:eastAsia="en-AU"/>
          </w:rPr>
          <w:tab/>
        </w:r>
        <w:r w:rsidR="00BC679D" w:rsidRPr="00B3483F">
          <w:rPr>
            <w:rStyle w:val="Hyperlink"/>
            <w:noProof/>
          </w:rPr>
          <w:t>Population growth</w:t>
        </w:r>
        <w:r w:rsidR="00BC679D">
          <w:rPr>
            <w:noProof/>
            <w:webHidden/>
          </w:rPr>
          <w:tab/>
        </w:r>
        <w:r>
          <w:rPr>
            <w:noProof/>
            <w:webHidden/>
          </w:rPr>
          <w:fldChar w:fldCharType="begin"/>
        </w:r>
        <w:r w:rsidR="00BC679D">
          <w:rPr>
            <w:noProof/>
            <w:webHidden/>
          </w:rPr>
          <w:instrText xml:space="preserve"> PAGEREF _Toc329331930 \h </w:instrText>
        </w:r>
        <w:r>
          <w:rPr>
            <w:noProof/>
            <w:webHidden/>
          </w:rPr>
        </w:r>
        <w:r>
          <w:rPr>
            <w:noProof/>
            <w:webHidden/>
          </w:rPr>
          <w:fldChar w:fldCharType="separate"/>
        </w:r>
        <w:r w:rsidR="00361A55">
          <w:rPr>
            <w:noProof/>
            <w:webHidden/>
          </w:rPr>
          <w:t>4</w:t>
        </w:r>
        <w:r>
          <w:rPr>
            <w:noProof/>
            <w:webHidden/>
          </w:rPr>
          <w:fldChar w:fldCharType="end"/>
        </w:r>
      </w:hyperlink>
    </w:p>
    <w:p w:rsidR="00BC679D" w:rsidRDefault="00637FD9">
      <w:pPr>
        <w:pStyle w:val="TOC2"/>
        <w:tabs>
          <w:tab w:val="left" w:pos="880"/>
          <w:tab w:val="right" w:leader="dot" w:pos="9016"/>
        </w:tabs>
        <w:rPr>
          <w:rFonts w:asciiTheme="minorHAnsi" w:eastAsiaTheme="minorEastAsia" w:hAnsiTheme="minorHAnsi"/>
          <w:noProof/>
          <w:lang w:eastAsia="en-AU"/>
        </w:rPr>
      </w:pPr>
      <w:hyperlink w:anchor="_Toc329331931" w:history="1">
        <w:r w:rsidR="00BC679D" w:rsidRPr="00B3483F">
          <w:rPr>
            <w:rStyle w:val="Hyperlink"/>
            <w:noProof/>
          </w:rPr>
          <w:t>2.2</w:t>
        </w:r>
        <w:r w:rsidR="00BC679D">
          <w:rPr>
            <w:rFonts w:asciiTheme="minorHAnsi" w:eastAsiaTheme="minorEastAsia" w:hAnsiTheme="minorHAnsi"/>
            <w:noProof/>
            <w:lang w:eastAsia="en-AU"/>
          </w:rPr>
          <w:tab/>
        </w:r>
        <w:r w:rsidR="00BC679D" w:rsidRPr="00B3483F">
          <w:rPr>
            <w:rStyle w:val="Hyperlink"/>
            <w:noProof/>
          </w:rPr>
          <w:t>Population forecasts</w:t>
        </w:r>
        <w:r w:rsidR="00BC679D">
          <w:rPr>
            <w:noProof/>
            <w:webHidden/>
          </w:rPr>
          <w:tab/>
        </w:r>
        <w:r>
          <w:rPr>
            <w:noProof/>
            <w:webHidden/>
          </w:rPr>
          <w:fldChar w:fldCharType="begin"/>
        </w:r>
        <w:r w:rsidR="00BC679D">
          <w:rPr>
            <w:noProof/>
            <w:webHidden/>
          </w:rPr>
          <w:instrText xml:space="preserve"> PAGEREF _Toc329331931 \h </w:instrText>
        </w:r>
        <w:r>
          <w:rPr>
            <w:noProof/>
            <w:webHidden/>
          </w:rPr>
        </w:r>
        <w:r>
          <w:rPr>
            <w:noProof/>
            <w:webHidden/>
          </w:rPr>
          <w:fldChar w:fldCharType="separate"/>
        </w:r>
        <w:r w:rsidR="00361A55">
          <w:rPr>
            <w:noProof/>
            <w:webHidden/>
          </w:rPr>
          <w:t>4</w:t>
        </w:r>
        <w:r>
          <w:rPr>
            <w:noProof/>
            <w:webHidden/>
          </w:rPr>
          <w:fldChar w:fldCharType="end"/>
        </w:r>
      </w:hyperlink>
    </w:p>
    <w:p w:rsidR="00BC679D" w:rsidRDefault="00637FD9">
      <w:pPr>
        <w:pStyle w:val="TOC2"/>
        <w:tabs>
          <w:tab w:val="left" w:pos="880"/>
          <w:tab w:val="right" w:leader="dot" w:pos="9016"/>
        </w:tabs>
        <w:rPr>
          <w:rFonts w:asciiTheme="minorHAnsi" w:eastAsiaTheme="minorEastAsia" w:hAnsiTheme="minorHAnsi"/>
          <w:noProof/>
          <w:lang w:eastAsia="en-AU"/>
        </w:rPr>
      </w:pPr>
      <w:hyperlink w:anchor="_Toc329331932" w:history="1">
        <w:r w:rsidR="00BC679D" w:rsidRPr="00B3483F">
          <w:rPr>
            <w:rStyle w:val="Hyperlink"/>
            <w:noProof/>
          </w:rPr>
          <w:t>2.3</w:t>
        </w:r>
        <w:r w:rsidR="00BC679D">
          <w:rPr>
            <w:rFonts w:asciiTheme="minorHAnsi" w:eastAsiaTheme="minorEastAsia" w:hAnsiTheme="minorHAnsi"/>
            <w:noProof/>
            <w:lang w:eastAsia="en-AU"/>
          </w:rPr>
          <w:tab/>
        </w:r>
        <w:r w:rsidR="00BC679D" w:rsidRPr="00B3483F">
          <w:rPr>
            <w:rStyle w:val="Hyperlink"/>
            <w:noProof/>
          </w:rPr>
          <w:t>Ageing population</w:t>
        </w:r>
        <w:r w:rsidR="00BC679D">
          <w:rPr>
            <w:noProof/>
            <w:webHidden/>
          </w:rPr>
          <w:tab/>
        </w:r>
        <w:r>
          <w:rPr>
            <w:noProof/>
            <w:webHidden/>
          </w:rPr>
          <w:fldChar w:fldCharType="begin"/>
        </w:r>
        <w:r w:rsidR="00BC679D">
          <w:rPr>
            <w:noProof/>
            <w:webHidden/>
          </w:rPr>
          <w:instrText xml:space="preserve"> PAGEREF _Toc329331932 \h </w:instrText>
        </w:r>
        <w:r>
          <w:rPr>
            <w:noProof/>
            <w:webHidden/>
          </w:rPr>
        </w:r>
        <w:r>
          <w:rPr>
            <w:noProof/>
            <w:webHidden/>
          </w:rPr>
          <w:fldChar w:fldCharType="separate"/>
        </w:r>
        <w:r w:rsidR="00361A55">
          <w:rPr>
            <w:noProof/>
            <w:webHidden/>
          </w:rPr>
          <w:t>5</w:t>
        </w:r>
        <w:r>
          <w:rPr>
            <w:noProof/>
            <w:webHidden/>
          </w:rPr>
          <w:fldChar w:fldCharType="end"/>
        </w:r>
      </w:hyperlink>
    </w:p>
    <w:p w:rsidR="00BC679D" w:rsidRDefault="00637FD9">
      <w:pPr>
        <w:pStyle w:val="TOC2"/>
        <w:tabs>
          <w:tab w:val="left" w:pos="880"/>
          <w:tab w:val="right" w:leader="dot" w:pos="9016"/>
        </w:tabs>
        <w:rPr>
          <w:rFonts w:asciiTheme="minorHAnsi" w:eastAsiaTheme="minorEastAsia" w:hAnsiTheme="minorHAnsi"/>
          <w:noProof/>
          <w:lang w:eastAsia="en-AU"/>
        </w:rPr>
      </w:pPr>
      <w:hyperlink w:anchor="_Toc329331933" w:history="1">
        <w:r w:rsidR="00BC679D" w:rsidRPr="00B3483F">
          <w:rPr>
            <w:rStyle w:val="Hyperlink"/>
            <w:noProof/>
          </w:rPr>
          <w:t>2.4</w:t>
        </w:r>
        <w:r w:rsidR="00BC679D">
          <w:rPr>
            <w:rFonts w:asciiTheme="minorHAnsi" w:eastAsiaTheme="minorEastAsia" w:hAnsiTheme="minorHAnsi"/>
            <w:noProof/>
            <w:lang w:eastAsia="en-AU"/>
          </w:rPr>
          <w:tab/>
        </w:r>
        <w:r w:rsidR="00BC679D" w:rsidRPr="00B3483F">
          <w:rPr>
            <w:rStyle w:val="Hyperlink"/>
            <w:noProof/>
          </w:rPr>
          <w:t>Household size</w:t>
        </w:r>
        <w:r w:rsidR="00BC679D">
          <w:rPr>
            <w:noProof/>
            <w:webHidden/>
          </w:rPr>
          <w:tab/>
        </w:r>
        <w:r>
          <w:rPr>
            <w:noProof/>
            <w:webHidden/>
          </w:rPr>
          <w:fldChar w:fldCharType="begin"/>
        </w:r>
        <w:r w:rsidR="00BC679D">
          <w:rPr>
            <w:noProof/>
            <w:webHidden/>
          </w:rPr>
          <w:instrText xml:space="preserve"> PAGEREF _Toc329331933 \h </w:instrText>
        </w:r>
        <w:r>
          <w:rPr>
            <w:noProof/>
            <w:webHidden/>
          </w:rPr>
        </w:r>
        <w:r>
          <w:rPr>
            <w:noProof/>
            <w:webHidden/>
          </w:rPr>
          <w:fldChar w:fldCharType="separate"/>
        </w:r>
        <w:r w:rsidR="00361A55">
          <w:rPr>
            <w:noProof/>
            <w:webHidden/>
          </w:rPr>
          <w:t>5</w:t>
        </w:r>
        <w:r>
          <w:rPr>
            <w:noProof/>
            <w:webHidden/>
          </w:rPr>
          <w:fldChar w:fldCharType="end"/>
        </w:r>
      </w:hyperlink>
    </w:p>
    <w:p w:rsidR="00BC679D" w:rsidRDefault="00637FD9">
      <w:pPr>
        <w:pStyle w:val="TOC1"/>
        <w:tabs>
          <w:tab w:val="left" w:pos="440"/>
          <w:tab w:val="right" w:leader="dot" w:pos="9016"/>
        </w:tabs>
        <w:rPr>
          <w:rFonts w:asciiTheme="minorHAnsi" w:eastAsiaTheme="minorEastAsia" w:hAnsiTheme="minorHAnsi"/>
          <w:noProof/>
          <w:lang w:eastAsia="en-AU"/>
        </w:rPr>
      </w:pPr>
      <w:hyperlink w:anchor="_Toc329331934" w:history="1">
        <w:r w:rsidR="00BC679D" w:rsidRPr="00B3483F">
          <w:rPr>
            <w:rStyle w:val="Hyperlink"/>
            <w:noProof/>
          </w:rPr>
          <w:t>3</w:t>
        </w:r>
        <w:r w:rsidR="00BC679D">
          <w:rPr>
            <w:rFonts w:asciiTheme="minorHAnsi" w:eastAsiaTheme="minorEastAsia" w:hAnsiTheme="minorHAnsi"/>
            <w:noProof/>
            <w:lang w:eastAsia="en-AU"/>
          </w:rPr>
          <w:tab/>
        </w:r>
        <w:r w:rsidR="00BC679D" w:rsidRPr="00B3483F">
          <w:rPr>
            <w:rStyle w:val="Hyperlink"/>
            <w:noProof/>
          </w:rPr>
          <w:t>Housing growth</w:t>
        </w:r>
        <w:r w:rsidR="00BC679D">
          <w:rPr>
            <w:noProof/>
            <w:webHidden/>
          </w:rPr>
          <w:tab/>
        </w:r>
        <w:r>
          <w:rPr>
            <w:noProof/>
            <w:webHidden/>
          </w:rPr>
          <w:fldChar w:fldCharType="begin"/>
        </w:r>
        <w:r w:rsidR="00BC679D">
          <w:rPr>
            <w:noProof/>
            <w:webHidden/>
          </w:rPr>
          <w:instrText xml:space="preserve"> PAGEREF _Toc329331934 \h </w:instrText>
        </w:r>
        <w:r>
          <w:rPr>
            <w:noProof/>
            <w:webHidden/>
          </w:rPr>
        </w:r>
        <w:r>
          <w:rPr>
            <w:noProof/>
            <w:webHidden/>
          </w:rPr>
          <w:fldChar w:fldCharType="separate"/>
        </w:r>
        <w:r w:rsidR="00361A55">
          <w:rPr>
            <w:noProof/>
            <w:webHidden/>
          </w:rPr>
          <w:t>6</w:t>
        </w:r>
        <w:r>
          <w:rPr>
            <w:noProof/>
            <w:webHidden/>
          </w:rPr>
          <w:fldChar w:fldCharType="end"/>
        </w:r>
      </w:hyperlink>
    </w:p>
    <w:p w:rsidR="00BC679D" w:rsidRDefault="00637FD9">
      <w:pPr>
        <w:pStyle w:val="TOC2"/>
        <w:tabs>
          <w:tab w:val="left" w:pos="880"/>
          <w:tab w:val="right" w:leader="dot" w:pos="9016"/>
        </w:tabs>
        <w:rPr>
          <w:rFonts w:asciiTheme="minorHAnsi" w:eastAsiaTheme="minorEastAsia" w:hAnsiTheme="minorHAnsi"/>
          <w:noProof/>
          <w:lang w:eastAsia="en-AU"/>
        </w:rPr>
      </w:pPr>
      <w:hyperlink w:anchor="_Toc329331935" w:history="1">
        <w:r w:rsidR="00BC679D" w:rsidRPr="00B3483F">
          <w:rPr>
            <w:rStyle w:val="Hyperlink"/>
            <w:noProof/>
          </w:rPr>
          <w:t>3.1</w:t>
        </w:r>
        <w:r w:rsidR="00BC679D">
          <w:rPr>
            <w:rFonts w:asciiTheme="minorHAnsi" w:eastAsiaTheme="minorEastAsia" w:hAnsiTheme="minorHAnsi"/>
            <w:noProof/>
            <w:lang w:eastAsia="en-AU"/>
          </w:rPr>
          <w:tab/>
        </w:r>
        <w:r w:rsidR="00BC679D" w:rsidRPr="00B3483F">
          <w:rPr>
            <w:rStyle w:val="Hyperlink"/>
            <w:noProof/>
          </w:rPr>
          <w:t>Residential housing growth</w:t>
        </w:r>
        <w:r w:rsidR="00BC679D">
          <w:rPr>
            <w:noProof/>
            <w:webHidden/>
          </w:rPr>
          <w:tab/>
        </w:r>
        <w:r>
          <w:rPr>
            <w:noProof/>
            <w:webHidden/>
          </w:rPr>
          <w:fldChar w:fldCharType="begin"/>
        </w:r>
        <w:r w:rsidR="00BC679D">
          <w:rPr>
            <w:noProof/>
            <w:webHidden/>
          </w:rPr>
          <w:instrText xml:space="preserve"> PAGEREF _Toc329331935 \h </w:instrText>
        </w:r>
        <w:r>
          <w:rPr>
            <w:noProof/>
            <w:webHidden/>
          </w:rPr>
        </w:r>
        <w:r>
          <w:rPr>
            <w:noProof/>
            <w:webHidden/>
          </w:rPr>
          <w:fldChar w:fldCharType="separate"/>
        </w:r>
        <w:r w:rsidR="00361A55">
          <w:rPr>
            <w:noProof/>
            <w:webHidden/>
          </w:rPr>
          <w:t>6</w:t>
        </w:r>
        <w:r>
          <w:rPr>
            <w:noProof/>
            <w:webHidden/>
          </w:rPr>
          <w:fldChar w:fldCharType="end"/>
        </w:r>
      </w:hyperlink>
    </w:p>
    <w:p w:rsidR="00BC679D" w:rsidRDefault="00637FD9">
      <w:pPr>
        <w:pStyle w:val="TOC2"/>
        <w:tabs>
          <w:tab w:val="left" w:pos="880"/>
          <w:tab w:val="right" w:leader="dot" w:pos="9016"/>
        </w:tabs>
        <w:rPr>
          <w:rFonts w:asciiTheme="minorHAnsi" w:eastAsiaTheme="minorEastAsia" w:hAnsiTheme="minorHAnsi"/>
          <w:noProof/>
          <w:lang w:eastAsia="en-AU"/>
        </w:rPr>
      </w:pPr>
      <w:hyperlink w:anchor="_Toc329331936" w:history="1">
        <w:r w:rsidR="00BC679D" w:rsidRPr="00B3483F">
          <w:rPr>
            <w:rStyle w:val="Hyperlink"/>
            <w:noProof/>
          </w:rPr>
          <w:t>3.2</w:t>
        </w:r>
        <w:r w:rsidR="00BC679D">
          <w:rPr>
            <w:rFonts w:asciiTheme="minorHAnsi" w:eastAsiaTheme="minorEastAsia" w:hAnsiTheme="minorHAnsi"/>
            <w:noProof/>
            <w:lang w:eastAsia="en-AU"/>
          </w:rPr>
          <w:tab/>
        </w:r>
        <w:r w:rsidR="00BC679D" w:rsidRPr="00B3483F">
          <w:rPr>
            <w:rStyle w:val="Hyperlink"/>
            <w:noProof/>
          </w:rPr>
          <w:t>Comparing population and residential housing growth</w:t>
        </w:r>
        <w:r w:rsidR="00BC679D">
          <w:rPr>
            <w:noProof/>
            <w:webHidden/>
          </w:rPr>
          <w:tab/>
        </w:r>
        <w:r>
          <w:rPr>
            <w:noProof/>
            <w:webHidden/>
          </w:rPr>
          <w:fldChar w:fldCharType="begin"/>
        </w:r>
        <w:r w:rsidR="00BC679D">
          <w:rPr>
            <w:noProof/>
            <w:webHidden/>
          </w:rPr>
          <w:instrText xml:space="preserve"> PAGEREF _Toc329331936 \h </w:instrText>
        </w:r>
        <w:r>
          <w:rPr>
            <w:noProof/>
            <w:webHidden/>
          </w:rPr>
        </w:r>
        <w:r>
          <w:rPr>
            <w:noProof/>
            <w:webHidden/>
          </w:rPr>
          <w:fldChar w:fldCharType="separate"/>
        </w:r>
        <w:r w:rsidR="00361A55">
          <w:rPr>
            <w:noProof/>
            <w:webHidden/>
          </w:rPr>
          <w:t>6</w:t>
        </w:r>
        <w:r>
          <w:rPr>
            <w:noProof/>
            <w:webHidden/>
          </w:rPr>
          <w:fldChar w:fldCharType="end"/>
        </w:r>
      </w:hyperlink>
    </w:p>
    <w:p w:rsidR="00BC679D" w:rsidRDefault="00637FD9">
      <w:pPr>
        <w:pStyle w:val="TOC2"/>
        <w:tabs>
          <w:tab w:val="left" w:pos="880"/>
          <w:tab w:val="right" w:leader="dot" w:pos="9016"/>
        </w:tabs>
        <w:rPr>
          <w:rFonts w:asciiTheme="minorHAnsi" w:eastAsiaTheme="minorEastAsia" w:hAnsiTheme="minorHAnsi"/>
          <w:noProof/>
          <w:lang w:eastAsia="en-AU"/>
        </w:rPr>
      </w:pPr>
      <w:hyperlink w:anchor="_Toc329331937" w:history="1">
        <w:r w:rsidR="00BC679D" w:rsidRPr="00B3483F">
          <w:rPr>
            <w:rStyle w:val="Hyperlink"/>
            <w:noProof/>
          </w:rPr>
          <w:t>3.3</w:t>
        </w:r>
        <w:r w:rsidR="00BC679D">
          <w:rPr>
            <w:rFonts w:asciiTheme="minorHAnsi" w:eastAsiaTheme="minorEastAsia" w:hAnsiTheme="minorHAnsi"/>
            <w:noProof/>
            <w:lang w:eastAsia="en-AU"/>
          </w:rPr>
          <w:tab/>
        </w:r>
        <w:r w:rsidR="00BC679D" w:rsidRPr="00B3483F">
          <w:rPr>
            <w:rStyle w:val="Hyperlink"/>
            <w:noProof/>
          </w:rPr>
          <w:t>Infill and Greenfield development growth</w:t>
        </w:r>
        <w:r w:rsidR="00BC679D">
          <w:rPr>
            <w:noProof/>
            <w:webHidden/>
          </w:rPr>
          <w:tab/>
        </w:r>
        <w:r>
          <w:rPr>
            <w:noProof/>
            <w:webHidden/>
          </w:rPr>
          <w:fldChar w:fldCharType="begin"/>
        </w:r>
        <w:r w:rsidR="00BC679D">
          <w:rPr>
            <w:noProof/>
            <w:webHidden/>
          </w:rPr>
          <w:instrText xml:space="preserve"> PAGEREF _Toc329331937 \h </w:instrText>
        </w:r>
        <w:r>
          <w:rPr>
            <w:noProof/>
            <w:webHidden/>
          </w:rPr>
        </w:r>
        <w:r>
          <w:rPr>
            <w:noProof/>
            <w:webHidden/>
          </w:rPr>
          <w:fldChar w:fldCharType="separate"/>
        </w:r>
        <w:r w:rsidR="00361A55">
          <w:rPr>
            <w:noProof/>
            <w:webHidden/>
          </w:rPr>
          <w:t>6</w:t>
        </w:r>
        <w:r>
          <w:rPr>
            <w:noProof/>
            <w:webHidden/>
          </w:rPr>
          <w:fldChar w:fldCharType="end"/>
        </w:r>
      </w:hyperlink>
    </w:p>
    <w:p w:rsidR="00BC679D" w:rsidRDefault="00637FD9">
      <w:pPr>
        <w:pStyle w:val="TOC1"/>
        <w:tabs>
          <w:tab w:val="left" w:pos="440"/>
          <w:tab w:val="right" w:leader="dot" w:pos="9016"/>
        </w:tabs>
        <w:rPr>
          <w:rFonts w:asciiTheme="minorHAnsi" w:eastAsiaTheme="minorEastAsia" w:hAnsiTheme="minorHAnsi"/>
          <w:noProof/>
          <w:lang w:eastAsia="en-AU"/>
        </w:rPr>
      </w:pPr>
      <w:hyperlink w:anchor="_Toc329331938" w:history="1">
        <w:r w:rsidR="00BC679D" w:rsidRPr="00B3483F">
          <w:rPr>
            <w:rStyle w:val="Hyperlink"/>
            <w:noProof/>
          </w:rPr>
          <w:t>4</w:t>
        </w:r>
        <w:r w:rsidR="00BC679D">
          <w:rPr>
            <w:rFonts w:asciiTheme="minorHAnsi" w:eastAsiaTheme="minorEastAsia" w:hAnsiTheme="minorHAnsi"/>
            <w:noProof/>
            <w:lang w:eastAsia="en-AU"/>
          </w:rPr>
          <w:tab/>
        </w:r>
        <w:r w:rsidR="00BC679D" w:rsidRPr="00B3483F">
          <w:rPr>
            <w:rStyle w:val="Hyperlink"/>
            <w:noProof/>
          </w:rPr>
          <w:t>Transport disadvantage</w:t>
        </w:r>
        <w:r w:rsidR="00BC679D">
          <w:rPr>
            <w:noProof/>
            <w:webHidden/>
          </w:rPr>
          <w:tab/>
        </w:r>
        <w:r>
          <w:rPr>
            <w:noProof/>
            <w:webHidden/>
          </w:rPr>
          <w:fldChar w:fldCharType="begin"/>
        </w:r>
        <w:r w:rsidR="00BC679D">
          <w:rPr>
            <w:noProof/>
            <w:webHidden/>
          </w:rPr>
          <w:instrText xml:space="preserve"> PAGEREF _Toc329331938 \h </w:instrText>
        </w:r>
        <w:r>
          <w:rPr>
            <w:noProof/>
            <w:webHidden/>
          </w:rPr>
        </w:r>
        <w:r>
          <w:rPr>
            <w:noProof/>
            <w:webHidden/>
          </w:rPr>
          <w:fldChar w:fldCharType="separate"/>
        </w:r>
        <w:r w:rsidR="00361A55">
          <w:rPr>
            <w:noProof/>
            <w:webHidden/>
          </w:rPr>
          <w:t>7</w:t>
        </w:r>
        <w:r>
          <w:rPr>
            <w:noProof/>
            <w:webHidden/>
          </w:rPr>
          <w:fldChar w:fldCharType="end"/>
        </w:r>
      </w:hyperlink>
    </w:p>
    <w:p w:rsidR="00BC679D" w:rsidRDefault="00637FD9">
      <w:pPr>
        <w:pStyle w:val="TOC2"/>
        <w:tabs>
          <w:tab w:val="left" w:pos="880"/>
          <w:tab w:val="right" w:leader="dot" w:pos="9016"/>
        </w:tabs>
        <w:rPr>
          <w:rFonts w:asciiTheme="minorHAnsi" w:eastAsiaTheme="minorEastAsia" w:hAnsiTheme="minorHAnsi"/>
          <w:noProof/>
          <w:lang w:eastAsia="en-AU"/>
        </w:rPr>
      </w:pPr>
      <w:hyperlink w:anchor="_Toc329331939" w:history="1">
        <w:r w:rsidR="00BC679D" w:rsidRPr="00B3483F">
          <w:rPr>
            <w:rStyle w:val="Hyperlink"/>
            <w:noProof/>
          </w:rPr>
          <w:t>4.1</w:t>
        </w:r>
        <w:r w:rsidR="00BC679D">
          <w:rPr>
            <w:rFonts w:asciiTheme="minorHAnsi" w:eastAsiaTheme="minorEastAsia" w:hAnsiTheme="minorHAnsi"/>
            <w:noProof/>
            <w:lang w:eastAsia="en-AU"/>
          </w:rPr>
          <w:tab/>
        </w:r>
        <w:r w:rsidR="00BC679D" w:rsidRPr="00B3483F">
          <w:rPr>
            <w:rStyle w:val="Hyperlink"/>
            <w:noProof/>
          </w:rPr>
          <w:t>Social Economic Indexes for Areas (SEIFA)</w:t>
        </w:r>
        <w:r w:rsidR="00BC679D">
          <w:rPr>
            <w:noProof/>
            <w:webHidden/>
          </w:rPr>
          <w:tab/>
        </w:r>
        <w:r>
          <w:rPr>
            <w:noProof/>
            <w:webHidden/>
          </w:rPr>
          <w:fldChar w:fldCharType="begin"/>
        </w:r>
        <w:r w:rsidR="00BC679D">
          <w:rPr>
            <w:noProof/>
            <w:webHidden/>
          </w:rPr>
          <w:instrText xml:space="preserve"> PAGEREF _Toc329331939 \h </w:instrText>
        </w:r>
        <w:r>
          <w:rPr>
            <w:noProof/>
            <w:webHidden/>
          </w:rPr>
        </w:r>
        <w:r>
          <w:rPr>
            <w:noProof/>
            <w:webHidden/>
          </w:rPr>
          <w:fldChar w:fldCharType="separate"/>
        </w:r>
        <w:r w:rsidR="00361A55">
          <w:rPr>
            <w:noProof/>
            <w:webHidden/>
          </w:rPr>
          <w:t>7</w:t>
        </w:r>
        <w:r>
          <w:rPr>
            <w:noProof/>
            <w:webHidden/>
          </w:rPr>
          <w:fldChar w:fldCharType="end"/>
        </w:r>
      </w:hyperlink>
    </w:p>
    <w:p w:rsidR="00BC679D" w:rsidRDefault="00637FD9">
      <w:pPr>
        <w:pStyle w:val="TOC2"/>
        <w:tabs>
          <w:tab w:val="left" w:pos="880"/>
          <w:tab w:val="right" w:leader="dot" w:pos="9016"/>
        </w:tabs>
        <w:rPr>
          <w:rFonts w:asciiTheme="minorHAnsi" w:eastAsiaTheme="minorEastAsia" w:hAnsiTheme="minorHAnsi"/>
          <w:noProof/>
          <w:lang w:eastAsia="en-AU"/>
        </w:rPr>
      </w:pPr>
      <w:hyperlink w:anchor="_Toc329331940" w:history="1">
        <w:r w:rsidR="00BC679D" w:rsidRPr="00B3483F">
          <w:rPr>
            <w:rStyle w:val="Hyperlink"/>
            <w:noProof/>
            <w:lang w:val="en-GB"/>
          </w:rPr>
          <w:t>4.2</w:t>
        </w:r>
        <w:r w:rsidR="00BC679D">
          <w:rPr>
            <w:rFonts w:asciiTheme="minorHAnsi" w:eastAsiaTheme="minorEastAsia" w:hAnsiTheme="minorHAnsi"/>
            <w:noProof/>
            <w:lang w:eastAsia="en-AU"/>
          </w:rPr>
          <w:tab/>
        </w:r>
        <w:r w:rsidR="00BC679D" w:rsidRPr="00B3483F">
          <w:rPr>
            <w:rStyle w:val="Hyperlink"/>
            <w:noProof/>
            <w:lang w:val="en-GB"/>
          </w:rPr>
          <w:t>Transport disadvantage</w:t>
        </w:r>
        <w:r w:rsidR="00BC679D">
          <w:rPr>
            <w:noProof/>
            <w:webHidden/>
          </w:rPr>
          <w:tab/>
        </w:r>
        <w:r>
          <w:rPr>
            <w:noProof/>
            <w:webHidden/>
          </w:rPr>
          <w:fldChar w:fldCharType="begin"/>
        </w:r>
        <w:r w:rsidR="00BC679D">
          <w:rPr>
            <w:noProof/>
            <w:webHidden/>
          </w:rPr>
          <w:instrText xml:space="preserve"> PAGEREF _Toc329331940 \h </w:instrText>
        </w:r>
        <w:r>
          <w:rPr>
            <w:noProof/>
            <w:webHidden/>
          </w:rPr>
        </w:r>
        <w:r>
          <w:rPr>
            <w:noProof/>
            <w:webHidden/>
          </w:rPr>
          <w:fldChar w:fldCharType="separate"/>
        </w:r>
        <w:r w:rsidR="00361A55">
          <w:rPr>
            <w:noProof/>
            <w:webHidden/>
          </w:rPr>
          <w:t>9</w:t>
        </w:r>
        <w:r>
          <w:rPr>
            <w:noProof/>
            <w:webHidden/>
          </w:rPr>
          <w:fldChar w:fldCharType="end"/>
        </w:r>
      </w:hyperlink>
    </w:p>
    <w:p w:rsidR="00BC679D" w:rsidRDefault="00637FD9">
      <w:pPr>
        <w:pStyle w:val="TOC2"/>
        <w:tabs>
          <w:tab w:val="left" w:pos="880"/>
          <w:tab w:val="right" w:leader="dot" w:pos="9016"/>
        </w:tabs>
        <w:rPr>
          <w:rFonts w:asciiTheme="minorHAnsi" w:eastAsiaTheme="minorEastAsia" w:hAnsiTheme="minorHAnsi"/>
          <w:noProof/>
          <w:lang w:eastAsia="en-AU"/>
        </w:rPr>
      </w:pPr>
      <w:hyperlink w:anchor="_Toc329331941" w:history="1">
        <w:r w:rsidR="00BC679D" w:rsidRPr="00B3483F">
          <w:rPr>
            <w:rStyle w:val="Hyperlink"/>
            <w:noProof/>
          </w:rPr>
          <w:t>4.3</w:t>
        </w:r>
        <w:r w:rsidR="00BC679D">
          <w:rPr>
            <w:rFonts w:asciiTheme="minorHAnsi" w:eastAsiaTheme="minorEastAsia" w:hAnsiTheme="minorHAnsi"/>
            <w:noProof/>
            <w:lang w:eastAsia="en-AU"/>
          </w:rPr>
          <w:tab/>
        </w:r>
        <w:r w:rsidR="00BC679D" w:rsidRPr="00B3483F">
          <w:rPr>
            <w:rStyle w:val="Hyperlink"/>
            <w:noProof/>
          </w:rPr>
          <w:t>Car ownership</w:t>
        </w:r>
        <w:r w:rsidR="00BC679D">
          <w:rPr>
            <w:noProof/>
            <w:webHidden/>
          </w:rPr>
          <w:tab/>
        </w:r>
        <w:r>
          <w:rPr>
            <w:noProof/>
            <w:webHidden/>
          </w:rPr>
          <w:fldChar w:fldCharType="begin"/>
        </w:r>
        <w:r w:rsidR="00BC679D">
          <w:rPr>
            <w:noProof/>
            <w:webHidden/>
          </w:rPr>
          <w:instrText xml:space="preserve"> PAGEREF _Toc329331941 \h </w:instrText>
        </w:r>
        <w:r>
          <w:rPr>
            <w:noProof/>
            <w:webHidden/>
          </w:rPr>
        </w:r>
        <w:r>
          <w:rPr>
            <w:noProof/>
            <w:webHidden/>
          </w:rPr>
          <w:fldChar w:fldCharType="separate"/>
        </w:r>
        <w:r w:rsidR="00361A55">
          <w:rPr>
            <w:noProof/>
            <w:webHidden/>
          </w:rPr>
          <w:t>11</w:t>
        </w:r>
        <w:r>
          <w:rPr>
            <w:noProof/>
            <w:webHidden/>
          </w:rPr>
          <w:fldChar w:fldCharType="end"/>
        </w:r>
      </w:hyperlink>
    </w:p>
    <w:p w:rsidR="00BC679D" w:rsidRDefault="00637FD9">
      <w:pPr>
        <w:pStyle w:val="TOC1"/>
        <w:tabs>
          <w:tab w:val="left" w:pos="440"/>
          <w:tab w:val="right" w:leader="dot" w:pos="9016"/>
        </w:tabs>
        <w:rPr>
          <w:rFonts w:asciiTheme="minorHAnsi" w:eastAsiaTheme="minorEastAsia" w:hAnsiTheme="minorHAnsi"/>
          <w:noProof/>
          <w:lang w:eastAsia="en-AU"/>
        </w:rPr>
      </w:pPr>
      <w:hyperlink w:anchor="_Toc329331942" w:history="1">
        <w:r w:rsidR="00BC679D" w:rsidRPr="00B3483F">
          <w:rPr>
            <w:rStyle w:val="Hyperlink"/>
            <w:noProof/>
          </w:rPr>
          <w:t>5</w:t>
        </w:r>
        <w:r w:rsidR="00BC679D">
          <w:rPr>
            <w:rFonts w:asciiTheme="minorHAnsi" w:eastAsiaTheme="minorEastAsia" w:hAnsiTheme="minorHAnsi"/>
            <w:noProof/>
            <w:lang w:eastAsia="en-AU"/>
          </w:rPr>
          <w:tab/>
        </w:r>
        <w:r w:rsidR="00BC679D" w:rsidRPr="00B3483F">
          <w:rPr>
            <w:rStyle w:val="Hyperlink"/>
            <w:noProof/>
          </w:rPr>
          <w:t>Travel patterns</w:t>
        </w:r>
        <w:r w:rsidR="00BC679D">
          <w:rPr>
            <w:noProof/>
            <w:webHidden/>
          </w:rPr>
          <w:tab/>
        </w:r>
        <w:r>
          <w:rPr>
            <w:noProof/>
            <w:webHidden/>
          </w:rPr>
          <w:fldChar w:fldCharType="begin"/>
        </w:r>
        <w:r w:rsidR="00BC679D">
          <w:rPr>
            <w:noProof/>
            <w:webHidden/>
          </w:rPr>
          <w:instrText xml:space="preserve"> PAGEREF _Toc329331942 \h </w:instrText>
        </w:r>
        <w:r>
          <w:rPr>
            <w:noProof/>
            <w:webHidden/>
          </w:rPr>
        </w:r>
        <w:r>
          <w:rPr>
            <w:noProof/>
            <w:webHidden/>
          </w:rPr>
          <w:fldChar w:fldCharType="separate"/>
        </w:r>
        <w:r w:rsidR="00361A55">
          <w:rPr>
            <w:noProof/>
            <w:webHidden/>
          </w:rPr>
          <w:t>11</w:t>
        </w:r>
        <w:r>
          <w:rPr>
            <w:noProof/>
            <w:webHidden/>
          </w:rPr>
          <w:fldChar w:fldCharType="end"/>
        </w:r>
      </w:hyperlink>
    </w:p>
    <w:p w:rsidR="00BC679D" w:rsidRDefault="00637FD9">
      <w:pPr>
        <w:pStyle w:val="TOC2"/>
        <w:tabs>
          <w:tab w:val="left" w:pos="880"/>
          <w:tab w:val="right" w:leader="dot" w:pos="9016"/>
        </w:tabs>
        <w:rPr>
          <w:rFonts w:asciiTheme="minorHAnsi" w:eastAsiaTheme="minorEastAsia" w:hAnsiTheme="minorHAnsi"/>
          <w:noProof/>
          <w:lang w:eastAsia="en-AU"/>
        </w:rPr>
      </w:pPr>
      <w:hyperlink w:anchor="_Toc329331943" w:history="1">
        <w:r w:rsidR="00BC679D" w:rsidRPr="00B3483F">
          <w:rPr>
            <w:rStyle w:val="Hyperlink"/>
            <w:noProof/>
          </w:rPr>
          <w:t>5.1</w:t>
        </w:r>
        <w:r w:rsidR="00BC679D">
          <w:rPr>
            <w:rFonts w:asciiTheme="minorHAnsi" w:eastAsiaTheme="minorEastAsia" w:hAnsiTheme="minorHAnsi"/>
            <w:noProof/>
            <w:lang w:eastAsia="en-AU"/>
          </w:rPr>
          <w:tab/>
        </w:r>
        <w:r w:rsidR="00BC679D" w:rsidRPr="00B3483F">
          <w:rPr>
            <w:rStyle w:val="Hyperlink"/>
            <w:noProof/>
          </w:rPr>
          <w:t>Journey to work analysis</w:t>
        </w:r>
        <w:r w:rsidR="00BC679D">
          <w:rPr>
            <w:noProof/>
            <w:webHidden/>
          </w:rPr>
          <w:tab/>
        </w:r>
        <w:r>
          <w:rPr>
            <w:noProof/>
            <w:webHidden/>
          </w:rPr>
          <w:fldChar w:fldCharType="begin"/>
        </w:r>
        <w:r w:rsidR="00BC679D">
          <w:rPr>
            <w:noProof/>
            <w:webHidden/>
          </w:rPr>
          <w:instrText xml:space="preserve"> PAGEREF _Toc329331943 \h </w:instrText>
        </w:r>
        <w:r>
          <w:rPr>
            <w:noProof/>
            <w:webHidden/>
          </w:rPr>
        </w:r>
        <w:r>
          <w:rPr>
            <w:noProof/>
            <w:webHidden/>
          </w:rPr>
          <w:fldChar w:fldCharType="separate"/>
        </w:r>
        <w:r w:rsidR="00361A55">
          <w:rPr>
            <w:noProof/>
            <w:webHidden/>
          </w:rPr>
          <w:t>11</w:t>
        </w:r>
        <w:r>
          <w:rPr>
            <w:noProof/>
            <w:webHidden/>
          </w:rPr>
          <w:fldChar w:fldCharType="end"/>
        </w:r>
      </w:hyperlink>
    </w:p>
    <w:p w:rsidR="00BC679D" w:rsidRDefault="00637FD9">
      <w:pPr>
        <w:pStyle w:val="TOC3"/>
        <w:tabs>
          <w:tab w:val="left" w:pos="1320"/>
          <w:tab w:val="right" w:leader="dot" w:pos="9016"/>
        </w:tabs>
        <w:rPr>
          <w:rFonts w:asciiTheme="minorHAnsi" w:eastAsiaTheme="minorEastAsia" w:hAnsiTheme="minorHAnsi"/>
          <w:noProof/>
          <w:lang w:eastAsia="en-AU"/>
        </w:rPr>
      </w:pPr>
      <w:hyperlink w:anchor="_Toc329331944" w:history="1">
        <w:r w:rsidR="00BC679D" w:rsidRPr="00B3483F">
          <w:rPr>
            <w:rStyle w:val="Hyperlink"/>
            <w:noProof/>
          </w:rPr>
          <w:t>5.1.1</w:t>
        </w:r>
        <w:r w:rsidR="00BC679D">
          <w:rPr>
            <w:rFonts w:asciiTheme="minorHAnsi" w:eastAsiaTheme="minorEastAsia" w:hAnsiTheme="minorHAnsi"/>
            <w:noProof/>
            <w:lang w:eastAsia="en-AU"/>
          </w:rPr>
          <w:tab/>
        </w:r>
        <w:r w:rsidR="00BC679D" w:rsidRPr="00B3483F">
          <w:rPr>
            <w:rStyle w:val="Hyperlink"/>
            <w:noProof/>
          </w:rPr>
          <w:t>Journey to work within Greater Hobart</w:t>
        </w:r>
        <w:r w:rsidR="00BC679D">
          <w:rPr>
            <w:noProof/>
            <w:webHidden/>
          </w:rPr>
          <w:tab/>
        </w:r>
        <w:r>
          <w:rPr>
            <w:noProof/>
            <w:webHidden/>
          </w:rPr>
          <w:fldChar w:fldCharType="begin"/>
        </w:r>
        <w:r w:rsidR="00BC679D">
          <w:rPr>
            <w:noProof/>
            <w:webHidden/>
          </w:rPr>
          <w:instrText xml:space="preserve"> PAGEREF _Toc329331944 \h </w:instrText>
        </w:r>
        <w:r>
          <w:rPr>
            <w:noProof/>
            <w:webHidden/>
          </w:rPr>
        </w:r>
        <w:r>
          <w:rPr>
            <w:noProof/>
            <w:webHidden/>
          </w:rPr>
          <w:fldChar w:fldCharType="separate"/>
        </w:r>
        <w:r w:rsidR="00361A55">
          <w:rPr>
            <w:noProof/>
            <w:webHidden/>
          </w:rPr>
          <w:t>12</w:t>
        </w:r>
        <w:r>
          <w:rPr>
            <w:noProof/>
            <w:webHidden/>
          </w:rPr>
          <w:fldChar w:fldCharType="end"/>
        </w:r>
      </w:hyperlink>
    </w:p>
    <w:p w:rsidR="00BC679D" w:rsidRDefault="00637FD9">
      <w:pPr>
        <w:pStyle w:val="TOC3"/>
        <w:tabs>
          <w:tab w:val="left" w:pos="1320"/>
          <w:tab w:val="right" w:leader="dot" w:pos="9016"/>
        </w:tabs>
        <w:rPr>
          <w:rFonts w:asciiTheme="minorHAnsi" w:eastAsiaTheme="minorEastAsia" w:hAnsiTheme="minorHAnsi"/>
          <w:noProof/>
          <w:lang w:eastAsia="en-AU"/>
        </w:rPr>
      </w:pPr>
      <w:hyperlink w:anchor="_Toc329331945" w:history="1">
        <w:r w:rsidR="00BC679D" w:rsidRPr="00B3483F">
          <w:rPr>
            <w:rStyle w:val="Hyperlink"/>
            <w:noProof/>
          </w:rPr>
          <w:t>5.1.2</w:t>
        </w:r>
        <w:r w:rsidR="00BC679D">
          <w:rPr>
            <w:rFonts w:asciiTheme="minorHAnsi" w:eastAsiaTheme="minorEastAsia" w:hAnsiTheme="minorHAnsi"/>
            <w:noProof/>
            <w:lang w:eastAsia="en-AU"/>
          </w:rPr>
          <w:tab/>
        </w:r>
        <w:r w:rsidR="00BC679D" w:rsidRPr="00B3483F">
          <w:rPr>
            <w:rStyle w:val="Hyperlink"/>
            <w:noProof/>
          </w:rPr>
          <w:t>Journey to work destinations along the Transit Corridor</w:t>
        </w:r>
        <w:r w:rsidR="00BC679D">
          <w:rPr>
            <w:noProof/>
            <w:webHidden/>
          </w:rPr>
          <w:tab/>
        </w:r>
        <w:r>
          <w:rPr>
            <w:noProof/>
            <w:webHidden/>
          </w:rPr>
          <w:fldChar w:fldCharType="begin"/>
        </w:r>
        <w:r w:rsidR="00BC679D">
          <w:rPr>
            <w:noProof/>
            <w:webHidden/>
          </w:rPr>
          <w:instrText xml:space="preserve"> PAGEREF _Toc329331945 \h </w:instrText>
        </w:r>
        <w:r>
          <w:rPr>
            <w:noProof/>
            <w:webHidden/>
          </w:rPr>
        </w:r>
        <w:r>
          <w:rPr>
            <w:noProof/>
            <w:webHidden/>
          </w:rPr>
          <w:fldChar w:fldCharType="separate"/>
        </w:r>
        <w:r w:rsidR="00361A55">
          <w:rPr>
            <w:noProof/>
            <w:webHidden/>
          </w:rPr>
          <w:t>12</w:t>
        </w:r>
        <w:r>
          <w:rPr>
            <w:noProof/>
            <w:webHidden/>
          </w:rPr>
          <w:fldChar w:fldCharType="end"/>
        </w:r>
      </w:hyperlink>
    </w:p>
    <w:p w:rsidR="00BC679D" w:rsidRDefault="00637FD9">
      <w:pPr>
        <w:pStyle w:val="TOC3"/>
        <w:tabs>
          <w:tab w:val="left" w:pos="1320"/>
          <w:tab w:val="right" w:leader="dot" w:pos="9016"/>
        </w:tabs>
        <w:rPr>
          <w:rFonts w:asciiTheme="minorHAnsi" w:eastAsiaTheme="minorEastAsia" w:hAnsiTheme="minorHAnsi"/>
          <w:noProof/>
          <w:lang w:eastAsia="en-AU"/>
        </w:rPr>
      </w:pPr>
      <w:hyperlink w:anchor="_Toc329331946" w:history="1">
        <w:r w:rsidR="00BC679D" w:rsidRPr="00B3483F">
          <w:rPr>
            <w:rStyle w:val="Hyperlink"/>
            <w:noProof/>
          </w:rPr>
          <w:t>5.1.3</w:t>
        </w:r>
        <w:r w:rsidR="00BC679D">
          <w:rPr>
            <w:rFonts w:asciiTheme="minorHAnsi" w:eastAsiaTheme="minorEastAsia" w:hAnsiTheme="minorHAnsi"/>
            <w:noProof/>
            <w:lang w:eastAsia="en-AU"/>
          </w:rPr>
          <w:tab/>
        </w:r>
        <w:r w:rsidR="00BC679D" w:rsidRPr="00B3483F">
          <w:rPr>
            <w:rStyle w:val="Hyperlink"/>
            <w:noProof/>
          </w:rPr>
          <w:t>Modal share along the Transit Corridor</w:t>
        </w:r>
        <w:r w:rsidR="00BC679D">
          <w:rPr>
            <w:noProof/>
            <w:webHidden/>
          </w:rPr>
          <w:tab/>
        </w:r>
        <w:r>
          <w:rPr>
            <w:noProof/>
            <w:webHidden/>
          </w:rPr>
          <w:fldChar w:fldCharType="begin"/>
        </w:r>
        <w:r w:rsidR="00BC679D">
          <w:rPr>
            <w:noProof/>
            <w:webHidden/>
          </w:rPr>
          <w:instrText xml:space="preserve"> PAGEREF _Toc329331946 \h </w:instrText>
        </w:r>
        <w:r>
          <w:rPr>
            <w:noProof/>
            <w:webHidden/>
          </w:rPr>
        </w:r>
        <w:r>
          <w:rPr>
            <w:noProof/>
            <w:webHidden/>
          </w:rPr>
          <w:fldChar w:fldCharType="separate"/>
        </w:r>
        <w:r w:rsidR="00361A55">
          <w:rPr>
            <w:noProof/>
            <w:webHidden/>
          </w:rPr>
          <w:t>14</w:t>
        </w:r>
        <w:r>
          <w:rPr>
            <w:noProof/>
            <w:webHidden/>
          </w:rPr>
          <w:fldChar w:fldCharType="end"/>
        </w:r>
      </w:hyperlink>
    </w:p>
    <w:p w:rsidR="00BC679D" w:rsidRDefault="00637FD9">
      <w:pPr>
        <w:pStyle w:val="TOC3"/>
        <w:tabs>
          <w:tab w:val="left" w:pos="1320"/>
          <w:tab w:val="right" w:leader="dot" w:pos="9016"/>
        </w:tabs>
        <w:rPr>
          <w:rFonts w:asciiTheme="minorHAnsi" w:eastAsiaTheme="minorEastAsia" w:hAnsiTheme="minorHAnsi"/>
          <w:noProof/>
          <w:lang w:eastAsia="en-AU"/>
        </w:rPr>
      </w:pPr>
      <w:hyperlink w:anchor="_Toc329331947" w:history="1">
        <w:r w:rsidR="00BC679D" w:rsidRPr="00B3483F">
          <w:rPr>
            <w:rStyle w:val="Hyperlink"/>
            <w:noProof/>
          </w:rPr>
          <w:t>5.1.4</w:t>
        </w:r>
        <w:r w:rsidR="00BC679D">
          <w:rPr>
            <w:rFonts w:asciiTheme="minorHAnsi" w:eastAsiaTheme="minorEastAsia" w:hAnsiTheme="minorHAnsi"/>
            <w:noProof/>
            <w:lang w:eastAsia="en-AU"/>
          </w:rPr>
          <w:tab/>
        </w:r>
        <w:r w:rsidR="00BC679D" w:rsidRPr="00B3483F">
          <w:rPr>
            <w:rStyle w:val="Hyperlink"/>
            <w:noProof/>
          </w:rPr>
          <w:t>Origin of public transport users</w:t>
        </w:r>
        <w:r w:rsidR="00BC679D">
          <w:rPr>
            <w:noProof/>
            <w:webHidden/>
          </w:rPr>
          <w:tab/>
        </w:r>
        <w:r>
          <w:rPr>
            <w:noProof/>
            <w:webHidden/>
          </w:rPr>
          <w:fldChar w:fldCharType="begin"/>
        </w:r>
        <w:r w:rsidR="00BC679D">
          <w:rPr>
            <w:noProof/>
            <w:webHidden/>
          </w:rPr>
          <w:instrText xml:space="preserve"> PAGEREF _Toc329331947 \h </w:instrText>
        </w:r>
        <w:r>
          <w:rPr>
            <w:noProof/>
            <w:webHidden/>
          </w:rPr>
        </w:r>
        <w:r>
          <w:rPr>
            <w:noProof/>
            <w:webHidden/>
          </w:rPr>
          <w:fldChar w:fldCharType="separate"/>
        </w:r>
        <w:r w:rsidR="00361A55">
          <w:rPr>
            <w:noProof/>
            <w:webHidden/>
          </w:rPr>
          <w:t>15</w:t>
        </w:r>
        <w:r>
          <w:rPr>
            <w:noProof/>
            <w:webHidden/>
          </w:rPr>
          <w:fldChar w:fldCharType="end"/>
        </w:r>
      </w:hyperlink>
    </w:p>
    <w:p w:rsidR="00BC679D" w:rsidRDefault="00637FD9">
      <w:pPr>
        <w:pStyle w:val="TOC2"/>
        <w:tabs>
          <w:tab w:val="left" w:pos="880"/>
          <w:tab w:val="right" w:leader="dot" w:pos="9016"/>
        </w:tabs>
        <w:rPr>
          <w:rFonts w:asciiTheme="minorHAnsi" w:eastAsiaTheme="minorEastAsia" w:hAnsiTheme="minorHAnsi"/>
          <w:noProof/>
          <w:lang w:eastAsia="en-AU"/>
        </w:rPr>
      </w:pPr>
      <w:hyperlink w:anchor="_Toc329331948" w:history="1">
        <w:r w:rsidR="00BC679D" w:rsidRPr="00B3483F">
          <w:rPr>
            <w:rStyle w:val="Hyperlink"/>
            <w:noProof/>
          </w:rPr>
          <w:t>5.2</w:t>
        </w:r>
        <w:r w:rsidR="00BC679D">
          <w:rPr>
            <w:rFonts w:asciiTheme="minorHAnsi" w:eastAsiaTheme="minorEastAsia" w:hAnsiTheme="minorHAnsi"/>
            <w:noProof/>
            <w:lang w:eastAsia="en-AU"/>
          </w:rPr>
          <w:tab/>
        </w:r>
        <w:r w:rsidR="00BC679D" w:rsidRPr="00B3483F">
          <w:rPr>
            <w:rStyle w:val="Hyperlink"/>
            <w:noProof/>
          </w:rPr>
          <w:t>Greater Hobart Household Travel Survey Analysis</w:t>
        </w:r>
        <w:r w:rsidR="00BC679D">
          <w:rPr>
            <w:noProof/>
            <w:webHidden/>
          </w:rPr>
          <w:tab/>
        </w:r>
        <w:r>
          <w:rPr>
            <w:noProof/>
            <w:webHidden/>
          </w:rPr>
          <w:fldChar w:fldCharType="begin"/>
        </w:r>
        <w:r w:rsidR="00BC679D">
          <w:rPr>
            <w:noProof/>
            <w:webHidden/>
          </w:rPr>
          <w:instrText xml:space="preserve"> PAGEREF _Toc329331948 \h </w:instrText>
        </w:r>
        <w:r>
          <w:rPr>
            <w:noProof/>
            <w:webHidden/>
          </w:rPr>
        </w:r>
        <w:r>
          <w:rPr>
            <w:noProof/>
            <w:webHidden/>
          </w:rPr>
          <w:fldChar w:fldCharType="separate"/>
        </w:r>
        <w:r w:rsidR="00361A55">
          <w:rPr>
            <w:noProof/>
            <w:webHidden/>
          </w:rPr>
          <w:t>17</w:t>
        </w:r>
        <w:r>
          <w:rPr>
            <w:noProof/>
            <w:webHidden/>
          </w:rPr>
          <w:fldChar w:fldCharType="end"/>
        </w:r>
      </w:hyperlink>
    </w:p>
    <w:p w:rsidR="00BC679D" w:rsidRDefault="00637FD9">
      <w:pPr>
        <w:pStyle w:val="TOC3"/>
        <w:tabs>
          <w:tab w:val="left" w:pos="1320"/>
          <w:tab w:val="right" w:leader="dot" w:pos="9016"/>
        </w:tabs>
        <w:rPr>
          <w:rFonts w:asciiTheme="minorHAnsi" w:eastAsiaTheme="minorEastAsia" w:hAnsiTheme="minorHAnsi"/>
          <w:noProof/>
          <w:lang w:eastAsia="en-AU"/>
        </w:rPr>
      </w:pPr>
      <w:hyperlink w:anchor="_Toc329331949" w:history="1">
        <w:r w:rsidR="00BC679D" w:rsidRPr="00B3483F">
          <w:rPr>
            <w:rStyle w:val="Hyperlink"/>
            <w:noProof/>
          </w:rPr>
          <w:t>5.2.1</w:t>
        </w:r>
        <w:r w:rsidR="00BC679D">
          <w:rPr>
            <w:rFonts w:asciiTheme="minorHAnsi" w:eastAsiaTheme="minorEastAsia" w:hAnsiTheme="minorHAnsi"/>
            <w:noProof/>
            <w:lang w:eastAsia="en-AU"/>
          </w:rPr>
          <w:tab/>
        </w:r>
        <w:r w:rsidR="00BC679D" w:rsidRPr="00B3483F">
          <w:rPr>
            <w:rStyle w:val="Hyperlink"/>
            <w:noProof/>
          </w:rPr>
          <w:t>What mode do people use to travel?</w:t>
        </w:r>
        <w:r w:rsidR="00BC679D">
          <w:rPr>
            <w:noProof/>
            <w:webHidden/>
          </w:rPr>
          <w:tab/>
        </w:r>
        <w:r>
          <w:rPr>
            <w:noProof/>
            <w:webHidden/>
          </w:rPr>
          <w:fldChar w:fldCharType="begin"/>
        </w:r>
        <w:r w:rsidR="00BC679D">
          <w:rPr>
            <w:noProof/>
            <w:webHidden/>
          </w:rPr>
          <w:instrText xml:space="preserve"> PAGEREF _Toc329331949 \h </w:instrText>
        </w:r>
        <w:r>
          <w:rPr>
            <w:noProof/>
            <w:webHidden/>
          </w:rPr>
        </w:r>
        <w:r>
          <w:rPr>
            <w:noProof/>
            <w:webHidden/>
          </w:rPr>
          <w:fldChar w:fldCharType="separate"/>
        </w:r>
        <w:r w:rsidR="00361A55">
          <w:rPr>
            <w:noProof/>
            <w:webHidden/>
          </w:rPr>
          <w:t>17</w:t>
        </w:r>
        <w:r>
          <w:rPr>
            <w:noProof/>
            <w:webHidden/>
          </w:rPr>
          <w:fldChar w:fldCharType="end"/>
        </w:r>
      </w:hyperlink>
    </w:p>
    <w:p w:rsidR="00BC679D" w:rsidRDefault="00637FD9">
      <w:pPr>
        <w:pStyle w:val="TOC3"/>
        <w:tabs>
          <w:tab w:val="left" w:pos="1320"/>
          <w:tab w:val="right" w:leader="dot" w:pos="9016"/>
        </w:tabs>
        <w:rPr>
          <w:rFonts w:asciiTheme="minorHAnsi" w:eastAsiaTheme="minorEastAsia" w:hAnsiTheme="minorHAnsi"/>
          <w:noProof/>
          <w:lang w:eastAsia="en-AU"/>
        </w:rPr>
      </w:pPr>
      <w:hyperlink w:anchor="_Toc329331950" w:history="1">
        <w:r w:rsidR="00BC679D" w:rsidRPr="00B3483F">
          <w:rPr>
            <w:rStyle w:val="Hyperlink"/>
            <w:noProof/>
            <w:lang w:val="en-GB"/>
          </w:rPr>
          <w:t>5.2.2</w:t>
        </w:r>
        <w:r w:rsidR="00BC679D">
          <w:rPr>
            <w:rFonts w:asciiTheme="minorHAnsi" w:eastAsiaTheme="minorEastAsia" w:hAnsiTheme="minorHAnsi"/>
            <w:noProof/>
            <w:lang w:eastAsia="en-AU"/>
          </w:rPr>
          <w:tab/>
        </w:r>
        <w:r w:rsidR="00BC679D" w:rsidRPr="00B3483F">
          <w:rPr>
            <w:rStyle w:val="Hyperlink"/>
            <w:noProof/>
            <w:lang w:val="en-GB"/>
          </w:rPr>
          <w:t>When do people travel?</w:t>
        </w:r>
        <w:r w:rsidR="00BC679D">
          <w:rPr>
            <w:noProof/>
            <w:webHidden/>
          </w:rPr>
          <w:tab/>
        </w:r>
        <w:r>
          <w:rPr>
            <w:noProof/>
            <w:webHidden/>
          </w:rPr>
          <w:fldChar w:fldCharType="begin"/>
        </w:r>
        <w:r w:rsidR="00BC679D">
          <w:rPr>
            <w:noProof/>
            <w:webHidden/>
          </w:rPr>
          <w:instrText xml:space="preserve"> PAGEREF _Toc329331950 \h </w:instrText>
        </w:r>
        <w:r>
          <w:rPr>
            <w:noProof/>
            <w:webHidden/>
          </w:rPr>
        </w:r>
        <w:r>
          <w:rPr>
            <w:noProof/>
            <w:webHidden/>
          </w:rPr>
          <w:fldChar w:fldCharType="separate"/>
        </w:r>
        <w:r w:rsidR="00361A55">
          <w:rPr>
            <w:noProof/>
            <w:webHidden/>
          </w:rPr>
          <w:t>17</w:t>
        </w:r>
        <w:r>
          <w:rPr>
            <w:noProof/>
            <w:webHidden/>
          </w:rPr>
          <w:fldChar w:fldCharType="end"/>
        </w:r>
      </w:hyperlink>
    </w:p>
    <w:p w:rsidR="00BC679D" w:rsidRDefault="00637FD9">
      <w:pPr>
        <w:pStyle w:val="TOC3"/>
        <w:tabs>
          <w:tab w:val="left" w:pos="1320"/>
          <w:tab w:val="right" w:leader="dot" w:pos="9016"/>
        </w:tabs>
        <w:rPr>
          <w:rFonts w:asciiTheme="minorHAnsi" w:eastAsiaTheme="minorEastAsia" w:hAnsiTheme="minorHAnsi"/>
          <w:noProof/>
          <w:lang w:eastAsia="en-AU"/>
        </w:rPr>
      </w:pPr>
      <w:hyperlink w:anchor="_Toc329331951" w:history="1">
        <w:r w:rsidR="00BC679D" w:rsidRPr="00B3483F">
          <w:rPr>
            <w:rStyle w:val="Hyperlink"/>
            <w:noProof/>
          </w:rPr>
          <w:t>5.2.3</w:t>
        </w:r>
        <w:r w:rsidR="00BC679D">
          <w:rPr>
            <w:rFonts w:asciiTheme="minorHAnsi" w:eastAsiaTheme="minorEastAsia" w:hAnsiTheme="minorHAnsi"/>
            <w:noProof/>
            <w:lang w:eastAsia="en-AU"/>
          </w:rPr>
          <w:tab/>
        </w:r>
        <w:r w:rsidR="00BC679D" w:rsidRPr="00B3483F">
          <w:rPr>
            <w:rStyle w:val="Hyperlink"/>
            <w:noProof/>
          </w:rPr>
          <w:t>Why do people travel?</w:t>
        </w:r>
        <w:r w:rsidR="00BC679D">
          <w:rPr>
            <w:noProof/>
            <w:webHidden/>
          </w:rPr>
          <w:tab/>
        </w:r>
        <w:r>
          <w:rPr>
            <w:noProof/>
            <w:webHidden/>
          </w:rPr>
          <w:fldChar w:fldCharType="begin"/>
        </w:r>
        <w:r w:rsidR="00BC679D">
          <w:rPr>
            <w:noProof/>
            <w:webHidden/>
          </w:rPr>
          <w:instrText xml:space="preserve"> PAGEREF _Toc329331951 \h </w:instrText>
        </w:r>
        <w:r>
          <w:rPr>
            <w:noProof/>
            <w:webHidden/>
          </w:rPr>
        </w:r>
        <w:r>
          <w:rPr>
            <w:noProof/>
            <w:webHidden/>
          </w:rPr>
          <w:fldChar w:fldCharType="separate"/>
        </w:r>
        <w:r w:rsidR="00361A55">
          <w:rPr>
            <w:noProof/>
            <w:webHidden/>
          </w:rPr>
          <w:t>18</w:t>
        </w:r>
        <w:r>
          <w:rPr>
            <w:noProof/>
            <w:webHidden/>
          </w:rPr>
          <w:fldChar w:fldCharType="end"/>
        </w:r>
      </w:hyperlink>
    </w:p>
    <w:p w:rsidR="00BC679D" w:rsidRDefault="00637FD9">
      <w:pPr>
        <w:pStyle w:val="TOC3"/>
        <w:tabs>
          <w:tab w:val="left" w:pos="1320"/>
          <w:tab w:val="right" w:leader="dot" w:pos="9016"/>
        </w:tabs>
        <w:rPr>
          <w:rFonts w:asciiTheme="minorHAnsi" w:eastAsiaTheme="minorEastAsia" w:hAnsiTheme="minorHAnsi"/>
          <w:noProof/>
          <w:lang w:eastAsia="en-AU"/>
        </w:rPr>
      </w:pPr>
      <w:hyperlink w:anchor="_Toc329331952" w:history="1">
        <w:r w:rsidR="00BC679D" w:rsidRPr="00B3483F">
          <w:rPr>
            <w:rStyle w:val="Hyperlink"/>
            <w:noProof/>
          </w:rPr>
          <w:t>5.2.4</w:t>
        </w:r>
        <w:r w:rsidR="00BC679D">
          <w:rPr>
            <w:rFonts w:asciiTheme="minorHAnsi" w:eastAsiaTheme="minorEastAsia" w:hAnsiTheme="minorHAnsi"/>
            <w:noProof/>
            <w:lang w:eastAsia="en-AU"/>
          </w:rPr>
          <w:tab/>
        </w:r>
        <w:r w:rsidR="00BC679D" w:rsidRPr="00B3483F">
          <w:rPr>
            <w:rStyle w:val="Hyperlink"/>
            <w:noProof/>
          </w:rPr>
          <w:t>What mode do people use to travel for different trip purposes?</w:t>
        </w:r>
        <w:r w:rsidR="00BC679D">
          <w:rPr>
            <w:noProof/>
            <w:webHidden/>
          </w:rPr>
          <w:tab/>
        </w:r>
        <w:r>
          <w:rPr>
            <w:noProof/>
            <w:webHidden/>
          </w:rPr>
          <w:fldChar w:fldCharType="begin"/>
        </w:r>
        <w:r w:rsidR="00BC679D">
          <w:rPr>
            <w:noProof/>
            <w:webHidden/>
          </w:rPr>
          <w:instrText xml:space="preserve"> PAGEREF _Toc329331952 \h </w:instrText>
        </w:r>
        <w:r>
          <w:rPr>
            <w:noProof/>
            <w:webHidden/>
          </w:rPr>
        </w:r>
        <w:r>
          <w:rPr>
            <w:noProof/>
            <w:webHidden/>
          </w:rPr>
          <w:fldChar w:fldCharType="separate"/>
        </w:r>
        <w:r w:rsidR="00361A55">
          <w:rPr>
            <w:noProof/>
            <w:webHidden/>
          </w:rPr>
          <w:t>19</w:t>
        </w:r>
        <w:r>
          <w:rPr>
            <w:noProof/>
            <w:webHidden/>
          </w:rPr>
          <w:fldChar w:fldCharType="end"/>
        </w:r>
      </w:hyperlink>
    </w:p>
    <w:p w:rsidR="00BC679D" w:rsidRDefault="00637FD9">
      <w:pPr>
        <w:pStyle w:val="TOC3"/>
        <w:tabs>
          <w:tab w:val="left" w:pos="1320"/>
          <w:tab w:val="right" w:leader="dot" w:pos="9016"/>
        </w:tabs>
        <w:rPr>
          <w:rFonts w:asciiTheme="minorHAnsi" w:eastAsiaTheme="minorEastAsia" w:hAnsiTheme="minorHAnsi"/>
          <w:noProof/>
          <w:lang w:eastAsia="en-AU"/>
        </w:rPr>
      </w:pPr>
      <w:hyperlink w:anchor="_Toc329331953" w:history="1">
        <w:r w:rsidR="00BC679D" w:rsidRPr="00B3483F">
          <w:rPr>
            <w:rStyle w:val="Hyperlink"/>
            <w:noProof/>
          </w:rPr>
          <w:t>5.2.5</w:t>
        </w:r>
        <w:r w:rsidR="00BC679D">
          <w:rPr>
            <w:rFonts w:asciiTheme="minorHAnsi" w:eastAsiaTheme="minorEastAsia" w:hAnsiTheme="minorHAnsi"/>
            <w:noProof/>
            <w:lang w:eastAsia="en-AU"/>
          </w:rPr>
          <w:tab/>
        </w:r>
        <w:r w:rsidR="00BC679D" w:rsidRPr="00B3483F">
          <w:rPr>
            <w:rStyle w:val="Hyperlink"/>
            <w:noProof/>
          </w:rPr>
          <w:t>Where are people travelling to and from?</w:t>
        </w:r>
        <w:r w:rsidR="00BC679D">
          <w:rPr>
            <w:noProof/>
            <w:webHidden/>
          </w:rPr>
          <w:tab/>
        </w:r>
        <w:r>
          <w:rPr>
            <w:noProof/>
            <w:webHidden/>
          </w:rPr>
          <w:fldChar w:fldCharType="begin"/>
        </w:r>
        <w:r w:rsidR="00BC679D">
          <w:rPr>
            <w:noProof/>
            <w:webHidden/>
          </w:rPr>
          <w:instrText xml:space="preserve"> PAGEREF _Toc329331953 \h </w:instrText>
        </w:r>
        <w:r>
          <w:rPr>
            <w:noProof/>
            <w:webHidden/>
          </w:rPr>
        </w:r>
        <w:r>
          <w:rPr>
            <w:noProof/>
            <w:webHidden/>
          </w:rPr>
          <w:fldChar w:fldCharType="separate"/>
        </w:r>
        <w:r w:rsidR="00361A55">
          <w:rPr>
            <w:noProof/>
            <w:webHidden/>
          </w:rPr>
          <w:t>20</w:t>
        </w:r>
        <w:r>
          <w:rPr>
            <w:noProof/>
            <w:webHidden/>
          </w:rPr>
          <w:fldChar w:fldCharType="end"/>
        </w:r>
      </w:hyperlink>
    </w:p>
    <w:p w:rsidR="00B73FDE" w:rsidRPr="00B73FDE" w:rsidRDefault="00637FD9" w:rsidP="00B73FDE">
      <w:r>
        <w:fldChar w:fldCharType="end"/>
      </w:r>
    </w:p>
    <w:p w:rsidR="005D1289" w:rsidRDefault="005D1289" w:rsidP="00B73FDE">
      <w:pPr>
        <w:pStyle w:val="TOC1"/>
        <w:tabs>
          <w:tab w:val="left" w:pos="440"/>
          <w:tab w:val="right" w:leader="dot" w:pos="9016"/>
        </w:tabs>
        <w:rPr>
          <w:noProof/>
        </w:rPr>
        <w:sectPr w:rsidR="005D1289" w:rsidSect="0081590E">
          <w:pgSz w:w="11906" w:h="16838"/>
          <w:pgMar w:top="1440" w:right="1440" w:bottom="1440" w:left="1440" w:header="708" w:footer="708" w:gutter="0"/>
          <w:cols w:space="708"/>
          <w:docGrid w:linePitch="360"/>
        </w:sectPr>
      </w:pPr>
    </w:p>
    <w:p w:rsidR="005D1289" w:rsidRDefault="005D1289" w:rsidP="005D1289">
      <w:pPr>
        <w:pStyle w:val="Heading1"/>
      </w:pPr>
      <w:bookmarkStart w:id="3" w:name="_Toc329331928"/>
      <w:r>
        <w:lastRenderedPageBreak/>
        <w:t>Key points</w:t>
      </w:r>
      <w:bookmarkEnd w:id="3"/>
    </w:p>
    <w:p w:rsidR="005D1289" w:rsidRDefault="005D1289" w:rsidP="005D1289">
      <w:pPr>
        <w:autoSpaceDE w:val="0"/>
        <w:autoSpaceDN w:val="0"/>
        <w:adjustRightInd w:val="0"/>
        <w:spacing w:after="120" w:line="240" w:lineRule="auto"/>
        <w:jc w:val="both"/>
      </w:pPr>
      <w:r w:rsidRPr="006903C0">
        <w:t xml:space="preserve">This report highlights </w:t>
      </w:r>
      <w:r>
        <w:t>key issues from a demographic and travel pattern perspective in relation to Glenorchy and Hobart City Councils:</w:t>
      </w:r>
    </w:p>
    <w:p w:rsidR="005D1289" w:rsidRPr="00474D40" w:rsidRDefault="005D1289" w:rsidP="00FC5095">
      <w:pPr>
        <w:numPr>
          <w:ilvl w:val="0"/>
          <w:numId w:val="4"/>
        </w:numPr>
        <w:spacing w:after="120" w:line="240" w:lineRule="auto"/>
        <w:ind w:left="720"/>
        <w:jc w:val="both"/>
      </w:pPr>
      <w:r w:rsidRPr="003B2637">
        <w:rPr>
          <w:b/>
          <w:lang w:val="en-GB"/>
        </w:rPr>
        <w:t xml:space="preserve">Population growth: </w:t>
      </w:r>
      <w:r w:rsidRPr="00A819EA">
        <w:rPr>
          <w:bCs/>
        </w:rPr>
        <w:t>Hobart and Glenorchy Councils have different demographic characteristics:</w:t>
      </w:r>
    </w:p>
    <w:p w:rsidR="005D1289" w:rsidRPr="0035032F" w:rsidRDefault="005D1289" w:rsidP="00FC5095">
      <w:pPr>
        <w:pStyle w:val="ListParagraph"/>
        <w:numPr>
          <w:ilvl w:val="1"/>
          <w:numId w:val="4"/>
        </w:numPr>
        <w:autoSpaceDE w:val="0"/>
        <w:autoSpaceDN w:val="0"/>
        <w:adjustRightInd w:val="0"/>
        <w:spacing w:after="120" w:line="240" w:lineRule="auto"/>
        <w:ind w:left="1077"/>
        <w:contextualSpacing w:val="0"/>
        <w:jc w:val="both"/>
        <w:rPr>
          <w:bCs/>
        </w:rPr>
      </w:pPr>
      <w:r w:rsidRPr="0035032F">
        <w:rPr>
          <w:bCs/>
        </w:rPr>
        <w:t xml:space="preserve">Hobart </w:t>
      </w:r>
      <w:r>
        <w:rPr>
          <w:bCs/>
        </w:rPr>
        <w:t>City Council</w:t>
      </w:r>
      <w:r w:rsidRPr="0035032F">
        <w:rPr>
          <w:bCs/>
        </w:rPr>
        <w:t xml:space="preserve"> is experiencing medium to high levels of population growth, a tren</w:t>
      </w:r>
      <w:r>
        <w:rPr>
          <w:bCs/>
        </w:rPr>
        <w:t>d which is forecast to continue; Hobart is forecast to</w:t>
      </w:r>
      <w:r w:rsidRPr="0035032F">
        <w:rPr>
          <w:bCs/>
        </w:rPr>
        <w:t xml:space="preserve"> </w:t>
      </w:r>
      <w:r>
        <w:rPr>
          <w:bCs/>
        </w:rPr>
        <w:t xml:space="preserve">gain </w:t>
      </w:r>
      <w:r w:rsidRPr="003B2637">
        <w:t xml:space="preserve">between 8 800 </w:t>
      </w:r>
      <w:r>
        <w:t>and</w:t>
      </w:r>
      <w:r w:rsidRPr="003B2637">
        <w:t xml:space="preserve"> 16 800</w:t>
      </w:r>
      <w:r>
        <w:t xml:space="preserve"> people by 2032 (</w:t>
      </w:r>
      <w:proofErr w:type="spellStart"/>
      <w:r>
        <w:t>DCAC</w:t>
      </w:r>
      <w:proofErr w:type="spellEnd"/>
      <w:r>
        <w:t xml:space="preserve"> 2008).</w:t>
      </w:r>
      <w:r w:rsidRPr="003B2637">
        <w:t xml:space="preserve"> </w:t>
      </w:r>
      <w:r w:rsidRPr="0035032F">
        <w:rPr>
          <w:bCs/>
        </w:rPr>
        <w:t>Hobart has a younger age profile than Glenorchy</w:t>
      </w:r>
      <w:r>
        <w:rPr>
          <w:bCs/>
        </w:rPr>
        <w:t>,</w:t>
      </w:r>
      <w:r w:rsidRPr="0035032F">
        <w:rPr>
          <w:bCs/>
        </w:rPr>
        <w:t xml:space="preserve"> as it attracts people of working and </w:t>
      </w:r>
      <w:r>
        <w:rPr>
          <w:bCs/>
        </w:rPr>
        <w:t>university age</w:t>
      </w:r>
      <w:r w:rsidRPr="0035032F">
        <w:rPr>
          <w:bCs/>
        </w:rPr>
        <w:t>.</w:t>
      </w:r>
    </w:p>
    <w:p w:rsidR="005D1289" w:rsidRPr="00474D40" w:rsidRDefault="005D1289" w:rsidP="00FC5095">
      <w:pPr>
        <w:pStyle w:val="ListParagraph"/>
        <w:numPr>
          <w:ilvl w:val="1"/>
          <w:numId w:val="4"/>
        </w:numPr>
        <w:autoSpaceDE w:val="0"/>
        <w:autoSpaceDN w:val="0"/>
        <w:adjustRightInd w:val="0"/>
        <w:spacing w:after="120" w:line="240" w:lineRule="auto"/>
        <w:ind w:left="1077"/>
        <w:contextualSpacing w:val="0"/>
        <w:jc w:val="both"/>
        <w:rPr>
          <w:bCs/>
        </w:rPr>
      </w:pPr>
      <w:r w:rsidRPr="0035032F">
        <w:rPr>
          <w:bCs/>
        </w:rPr>
        <w:t xml:space="preserve">Glenorchy </w:t>
      </w:r>
      <w:r>
        <w:rPr>
          <w:bCs/>
        </w:rPr>
        <w:t>City Council</w:t>
      </w:r>
      <w:r w:rsidRPr="0035032F">
        <w:rPr>
          <w:bCs/>
        </w:rPr>
        <w:t xml:space="preserve"> is experiencing low population growth and is</w:t>
      </w:r>
      <w:r>
        <w:rPr>
          <w:bCs/>
        </w:rPr>
        <w:t xml:space="preserve"> forecast to have static growth into the future; Glenorchy is forecast to have a decrease of 270 people under the ‘medium’ scenario or gain 4100 people under the ‘high’ scenario by 2032 </w:t>
      </w:r>
      <w:r>
        <w:t>(</w:t>
      </w:r>
      <w:proofErr w:type="spellStart"/>
      <w:r>
        <w:t>DCAC</w:t>
      </w:r>
      <w:proofErr w:type="spellEnd"/>
      <w:r>
        <w:t xml:space="preserve"> 2008)</w:t>
      </w:r>
      <w:r>
        <w:rPr>
          <w:bCs/>
        </w:rPr>
        <w:t>.</w:t>
      </w:r>
      <w:r w:rsidRPr="0035032F">
        <w:rPr>
          <w:bCs/>
        </w:rPr>
        <w:t xml:space="preserve"> Glenorchy is experiencing demographic change</w:t>
      </w:r>
      <w:r>
        <w:rPr>
          <w:bCs/>
        </w:rPr>
        <w:t>,</w:t>
      </w:r>
      <w:r w:rsidRPr="0035032F">
        <w:rPr>
          <w:bCs/>
        </w:rPr>
        <w:t xml:space="preserve"> with an </w:t>
      </w:r>
      <w:r>
        <w:rPr>
          <w:bCs/>
        </w:rPr>
        <w:t>ageing</w:t>
      </w:r>
      <w:r w:rsidRPr="0035032F">
        <w:rPr>
          <w:bCs/>
        </w:rPr>
        <w:t xml:space="preserve"> population and high levels of out</w:t>
      </w:r>
      <w:r>
        <w:rPr>
          <w:bCs/>
        </w:rPr>
        <w:t>-</w:t>
      </w:r>
      <w:r w:rsidRPr="0035032F">
        <w:rPr>
          <w:bCs/>
        </w:rPr>
        <w:t>migration.</w:t>
      </w:r>
    </w:p>
    <w:p w:rsidR="005D1289" w:rsidRPr="003B2637" w:rsidRDefault="005D1289" w:rsidP="00FC5095">
      <w:pPr>
        <w:numPr>
          <w:ilvl w:val="0"/>
          <w:numId w:val="4"/>
        </w:numPr>
        <w:spacing w:after="120" w:line="240" w:lineRule="auto"/>
        <w:ind w:left="720"/>
        <w:jc w:val="both"/>
      </w:pPr>
      <w:r w:rsidRPr="00474D40">
        <w:rPr>
          <w:b/>
        </w:rPr>
        <w:t>Household size:</w:t>
      </w:r>
      <w:r w:rsidRPr="003B2637">
        <w:t xml:space="preserve"> Overall household size is decreasing </w:t>
      </w:r>
      <w:r>
        <w:t xml:space="preserve">across Tasmania </w:t>
      </w:r>
      <w:r w:rsidRPr="003B2637">
        <w:t xml:space="preserve">which will create a demand for more housing and </w:t>
      </w:r>
      <w:r>
        <w:t>diversity of</w:t>
      </w:r>
      <w:r w:rsidRPr="003B2637">
        <w:t xml:space="preserve"> housing types.  The greatest concentration of households with one to two residents in Southern Tasmania is found in Hobart and Glenorchy.</w:t>
      </w:r>
    </w:p>
    <w:p w:rsidR="005D1289" w:rsidRPr="000F1246" w:rsidRDefault="005D1289" w:rsidP="00FC5095">
      <w:pPr>
        <w:pStyle w:val="Default"/>
        <w:numPr>
          <w:ilvl w:val="0"/>
          <w:numId w:val="4"/>
        </w:numPr>
        <w:spacing w:after="120"/>
        <w:ind w:left="720"/>
        <w:jc w:val="both"/>
        <w:rPr>
          <w:rFonts w:ascii="Arial" w:hAnsi="Arial" w:cs="Arial"/>
          <w:color w:val="auto"/>
          <w:sz w:val="22"/>
          <w:szCs w:val="22"/>
        </w:rPr>
      </w:pPr>
      <w:r w:rsidRPr="000F1246">
        <w:rPr>
          <w:rFonts w:ascii="Arial" w:hAnsi="Arial" w:cs="Arial"/>
          <w:b/>
          <w:bCs/>
          <w:color w:val="auto"/>
          <w:sz w:val="22"/>
          <w:szCs w:val="22"/>
        </w:rPr>
        <w:t>Infill and Greenfield development:</w:t>
      </w:r>
      <w:r w:rsidRPr="000F1246">
        <w:rPr>
          <w:rFonts w:ascii="Arial" w:hAnsi="Arial" w:cs="Arial"/>
          <w:bCs/>
          <w:color w:val="auto"/>
          <w:sz w:val="22"/>
          <w:szCs w:val="22"/>
        </w:rPr>
        <w:t xml:space="preserve"> </w:t>
      </w:r>
      <w:r w:rsidRPr="000F1246">
        <w:rPr>
          <w:rFonts w:ascii="Arial" w:hAnsi="Arial" w:cs="Arial"/>
          <w:color w:val="auto"/>
          <w:sz w:val="22"/>
          <w:szCs w:val="22"/>
        </w:rPr>
        <w:t>If both infill and Greenfield development targets are met in Glenorchy and Hobart, the population could increase well above the population forecast levels. Glenorchy has the potential to experience the greatest population increase because its forecasts are low and it has more Greenfield development opportunities.</w:t>
      </w:r>
    </w:p>
    <w:p w:rsidR="005D1289" w:rsidRPr="000F1246" w:rsidRDefault="005D1289" w:rsidP="00FC5095">
      <w:pPr>
        <w:pStyle w:val="Default"/>
        <w:numPr>
          <w:ilvl w:val="0"/>
          <w:numId w:val="4"/>
        </w:numPr>
        <w:spacing w:after="120"/>
        <w:ind w:left="720"/>
        <w:jc w:val="both"/>
        <w:rPr>
          <w:rFonts w:ascii="Arial" w:hAnsi="Arial" w:cs="Arial"/>
          <w:color w:val="auto"/>
          <w:sz w:val="22"/>
          <w:szCs w:val="22"/>
        </w:rPr>
      </w:pPr>
      <w:r w:rsidRPr="000F1246">
        <w:rPr>
          <w:rFonts w:ascii="Arial" w:hAnsi="Arial" w:cs="Arial"/>
          <w:color w:val="auto"/>
          <w:sz w:val="22"/>
          <w:szCs w:val="22"/>
        </w:rPr>
        <w:t>Achieving this level of growth will be a significant challenge, as deliberate planning and policy changes would be required to shift population growth from outer areas towards Glenorchy and Hobart.</w:t>
      </w:r>
    </w:p>
    <w:p w:rsidR="005D1289" w:rsidRDefault="005D1289" w:rsidP="00FC5095">
      <w:pPr>
        <w:numPr>
          <w:ilvl w:val="0"/>
          <w:numId w:val="4"/>
        </w:numPr>
        <w:spacing w:after="120" w:line="240" w:lineRule="auto"/>
        <w:ind w:left="714" w:hanging="357"/>
        <w:jc w:val="both"/>
        <w:rPr>
          <w:b/>
        </w:rPr>
      </w:pPr>
      <w:r w:rsidRPr="00474D40">
        <w:rPr>
          <w:b/>
        </w:rPr>
        <w:t>Travel patterns and behaviour</w:t>
      </w:r>
      <w:r>
        <w:rPr>
          <w:b/>
        </w:rPr>
        <w:t xml:space="preserve">: </w:t>
      </w:r>
      <w:r w:rsidRPr="00474D40">
        <w:rPr>
          <w:bCs/>
        </w:rPr>
        <w:t>People living in Glenorchy and Hobart have more sustainable travel habits than other areas within Greater Hobart</w:t>
      </w:r>
      <w:r>
        <w:rPr>
          <w:bCs/>
        </w:rPr>
        <w:t>, including greater use of public transport and walking and lower levels of car ownership</w:t>
      </w:r>
      <w:r w:rsidRPr="00474D40">
        <w:rPr>
          <w:bCs/>
        </w:rPr>
        <w:t>. This can be attributed to these areas having more compact and mixed use development patterns with a high number of trip attractors.</w:t>
      </w:r>
    </w:p>
    <w:p w:rsidR="005D1289" w:rsidRDefault="005D1289" w:rsidP="00FC5095">
      <w:pPr>
        <w:numPr>
          <w:ilvl w:val="0"/>
          <w:numId w:val="4"/>
        </w:numPr>
        <w:spacing w:after="120" w:line="240" w:lineRule="auto"/>
        <w:ind w:left="714" w:hanging="357"/>
        <w:jc w:val="both"/>
        <w:rPr>
          <w:b/>
        </w:rPr>
      </w:pPr>
      <w:r w:rsidRPr="00474D40">
        <w:rPr>
          <w:b/>
          <w:bCs/>
        </w:rPr>
        <w:t>High levels of households without a car or only one car:</w:t>
      </w:r>
      <w:r w:rsidRPr="00474D40">
        <w:rPr>
          <w:bCs/>
        </w:rPr>
        <w:t xml:space="preserve"> </w:t>
      </w:r>
      <w:r w:rsidRPr="007B0F2D">
        <w:t>Both Glenorchy (14 percent) and Hobart (12 percent) have high levels of households without a car and around 40 percent of households with only one car</w:t>
      </w:r>
      <w:r>
        <w:t xml:space="preserve"> (ABS 2006)</w:t>
      </w:r>
      <w:r w:rsidRPr="007B0F2D">
        <w:t xml:space="preserve">. Not owning a car in </w:t>
      </w:r>
      <w:r>
        <w:t>these</w:t>
      </w:r>
      <w:r w:rsidRPr="007B0F2D">
        <w:t xml:space="preserve"> areas is not necessarily a disadvantage</w:t>
      </w:r>
      <w:r>
        <w:t>,</w:t>
      </w:r>
      <w:r w:rsidRPr="007B0F2D">
        <w:t xml:space="preserve"> as public transport </w:t>
      </w:r>
      <w:r>
        <w:t xml:space="preserve">frequency is high </w:t>
      </w:r>
      <w:r w:rsidRPr="007B0F2D">
        <w:t xml:space="preserve">and </w:t>
      </w:r>
      <w:r>
        <w:t>trip attractors</w:t>
      </w:r>
      <w:r w:rsidRPr="007B0F2D">
        <w:t xml:space="preserve"> are </w:t>
      </w:r>
      <w:r>
        <w:t xml:space="preserve">more likely to be </w:t>
      </w:r>
      <w:r w:rsidRPr="007B0F2D">
        <w:t>within walking distance.</w:t>
      </w:r>
    </w:p>
    <w:p w:rsidR="005D1289" w:rsidRPr="00474D40" w:rsidRDefault="005D1289" w:rsidP="00FC5095">
      <w:pPr>
        <w:numPr>
          <w:ilvl w:val="0"/>
          <w:numId w:val="4"/>
        </w:numPr>
        <w:spacing w:after="120" w:line="240" w:lineRule="auto"/>
        <w:ind w:left="714" w:hanging="357"/>
        <w:jc w:val="both"/>
        <w:rPr>
          <w:b/>
        </w:rPr>
      </w:pPr>
      <w:r w:rsidRPr="00474D40">
        <w:rPr>
          <w:b/>
        </w:rPr>
        <w:t>Public transport:</w:t>
      </w:r>
      <w:r>
        <w:t xml:space="preserve"> </w:t>
      </w:r>
      <w:r w:rsidRPr="007B0F2D">
        <w:t xml:space="preserve">Suburbs beyond walking distance of </w:t>
      </w:r>
      <w:r>
        <w:t xml:space="preserve">the </w:t>
      </w:r>
      <w:r w:rsidRPr="007B0F2D">
        <w:t xml:space="preserve">Hobart </w:t>
      </w:r>
      <w:proofErr w:type="spellStart"/>
      <w:r w:rsidRPr="007B0F2D">
        <w:t>CBD</w:t>
      </w:r>
      <w:proofErr w:type="spellEnd"/>
      <w:r w:rsidRPr="007B0F2D">
        <w:t xml:space="preserve">, have higher levels of public transport use in the journey to work: </w:t>
      </w:r>
    </w:p>
    <w:p w:rsidR="005D1289" w:rsidRPr="007B0F2D" w:rsidRDefault="005D1289" w:rsidP="00FC5095">
      <w:pPr>
        <w:pStyle w:val="ListParagraph"/>
        <w:numPr>
          <w:ilvl w:val="0"/>
          <w:numId w:val="15"/>
        </w:numPr>
        <w:autoSpaceDE w:val="0"/>
        <w:autoSpaceDN w:val="0"/>
        <w:adjustRightInd w:val="0"/>
        <w:spacing w:after="120" w:line="240" w:lineRule="auto"/>
        <w:ind w:left="1077" w:hanging="357"/>
        <w:contextualSpacing w:val="0"/>
        <w:jc w:val="both"/>
        <w:rPr>
          <w:b/>
          <w:lang w:val="en-GB"/>
        </w:rPr>
      </w:pPr>
      <w:r w:rsidRPr="007B0F2D">
        <w:t>New Town</w:t>
      </w:r>
      <w:r>
        <w:t>: 9.3</w:t>
      </w:r>
      <w:r w:rsidRPr="0035032F">
        <w:t xml:space="preserve"> percent.</w:t>
      </w:r>
    </w:p>
    <w:p w:rsidR="005D1289" w:rsidRPr="0035032F" w:rsidRDefault="005D1289" w:rsidP="00FC5095">
      <w:pPr>
        <w:pStyle w:val="ListParagraph"/>
        <w:numPr>
          <w:ilvl w:val="0"/>
          <w:numId w:val="14"/>
        </w:numPr>
        <w:spacing w:after="120" w:line="240" w:lineRule="auto"/>
        <w:ind w:left="1077" w:hanging="357"/>
        <w:contextualSpacing w:val="0"/>
        <w:jc w:val="both"/>
        <w:rPr>
          <w:i/>
        </w:rPr>
      </w:pPr>
      <w:r>
        <w:t>West Moonah: 8.5</w:t>
      </w:r>
      <w:r w:rsidRPr="0035032F">
        <w:t xml:space="preserve"> percent.</w:t>
      </w:r>
    </w:p>
    <w:p w:rsidR="005D1289" w:rsidRPr="0035032F" w:rsidRDefault="005D1289" w:rsidP="00FC5095">
      <w:pPr>
        <w:pStyle w:val="ListParagraph"/>
        <w:numPr>
          <w:ilvl w:val="0"/>
          <w:numId w:val="14"/>
        </w:numPr>
        <w:spacing w:after="120" w:line="240" w:lineRule="auto"/>
        <w:ind w:left="1077" w:hanging="357"/>
        <w:contextualSpacing w:val="0"/>
        <w:rPr>
          <w:bCs/>
          <w:i/>
        </w:rPr>
      </w:pPr>
      <w:r>
        <w:t xml:space="preserve">Moonah: </w:t>
      </w:r>
      <w:r w:rsidRPr="0035032F">
        <w:t>8 percent</w:t>
      </w:r>
      <w:r>
        <w:t xml:space="preserve"> (ABS 2006)</w:t>
      </w:r>
      <w:r w:rsidRPr="0035032F">
        <w:t>.</w:t>
      </w:r>
    </w:p>
    <w:p w:rsidR="005D1289" w:rsidRPr="00474D40" w:rsidRDefault="005D1289" w:rsidP="00FC5095">
      <w:pPr>
        <w:numPr>
          <w:ilvl w:val="0"/>
          <w:numId w:val="14"/>
        </w:numPr>
        <w:spacing w:after="120" w:line="240" w:lineRule="auto"/>
        <w:jc w:val="both"/>
        <w:rPr>
          <w:bCs/>
          <w:i/>
        </w:rPr>
      </w:pPr>
      <w:r w:rsidRPr="007B0F2D">
        <w:rPr>
          <w:bCs/>
        </w:rPr>
        <w:t xml:space="preserve">Despite using sustainable transport more than other Greater Hobart residents, public transport use is still very low for all trips: </w:t>
      </w:r>
    </w:p>
    <w:p w:rsidR="005D1289" w:rsidRPr="00474D40" w:rsidRDefault="005D1289" w:rsidP="00FC5095">
      <w:pPr>
        <w:numPr>
          <w:ilvl w:val="1"/>
          <w:numId w:val="14"/>
        </w:numPr>
        <w:spacing w:after="120" w:line="240" w:lineRule="auto"/>
        <w:ind w:left="1077"/>
        <w:jc w:val="both"/>
        <w:rPr>
          <w:bCs/>
          <w:i/>
        </w:rPr>
      </w:pPr>
      <w:r w:rsidRPr="00474D40">
        <w:rPr>
          <w:bCs/>
        </w:rPr>
        <w:t>Glenorchy: 4.7 percent.</w:t>
      </w:r>
    </w:p>
    <w:p w:rsidR="005D1289" w:rsidRPr="00474D40" w:rsidRDefault="005D1289" w:rsidP="00FC5095">
      <w:pPr>
        <w:numPr>
          <w:ilvl w:val="1"/>
          <w:numId w:val="14"/>
        </w:numPr>
        <w:spacing w:after="120" w:line="240" w:lineRule="auto"/>
        <w:ind w:left="1077"/>
        <w:jc w:val="both"/>
        <w:rPr>
          <w:bCs/>
          <w:i/>
        </w:rPr>
      </w:pPr>
      <w:r w:rsidRPr="00474D40">
        <w:rPr>
          <w:bCs/>
        </w:rPr>
        <w:lastRenderedPageBreak/>
        <w:t>Hobart: 2.4 percent (Greater Hobart Household Travel Survey</w:t>
      </w:r>
      <w:r>
        <w:rPr>
          <w:bCs/>
        </w:rPr>
        <w:t xml:space="preserve"> 2008/09</w:t>
      </w:r>
      <w:r w:rsidRPr="00474D40">
        <w:rPr>
          <w:bCs/>
        </w:rPr>
        <w:t>).</w:t>
      </w:r>
    </w:p>
    <w:p w:rsidR="005D1289" w:rsidRPr="00AF2043" w:rsidRDefault="005D1289" w:rsidP="00FC5095">
      <w:pPr>
        <w:numPr>
          <w:ilvl w:val="0"/>
          <w:numId w:val="16"/>
        </w:numPr>
        <w:spacing w:after="120" w:line="240" w:lineRule="auto"/>
        <w:jc w:val="both"/>
        <w:rPr>
          <w:bCs/>
          <w:i/>
        </w:rPr>
      </w:pPr>
      <w:r w:rsidRPr="00AF2043">
        <w:rPr>
          <w:bCs/>
        </w:rPr>
        <w:t>Where people do use public transport for different trip purposes, the results are as follows:</w:t>
      </w:r>
    </w:p>
    <w:p w:rsidR="005D1289" w:rsidRPr="00AF2043" w:rsidRDefault="005D1289" w:rsidP="00FC5095">
      <w:pPr>
        <w:pStyle w:val="ListParagraph"/>
        <w:numPr>
          <w:ilvl w:val="1"/>
          <w:numId w:val="16"/>
        </w:numPr>
        <w:spacing w:after="120" w:line="240" w:lineRule="auto"/>
        <w:ind w:left="1077"/>
        <w:contextualSpacing w:val="0"/>
        <w:jc w:val="both"/>
        <w:rPr>
          <w:bCs/>
          <w:i/>
        </w:rPr>
      </w:pPr>
      <w:r w:rsidRPr="00AF2043">
        <w:rPr>
          <w:bCs/>
        </w:rPr>
        <w:t>14 percent in</w:t>
      </w:r>
      <w:r w:rsidRPr="00AF2043">
        <w:rPr>
          <w:bCs/>
          <w:i/>
        </w:rPr>
        <w:t xml:space="preserve"> </w:t>
      </w:r>
      <w:r w:rsidRPr="00AF2043">
        <w:t>Hobart and Glenorchy</w:t>
      </w:r>
      <w:r w:rsidRPr="00AF2043">
        <w:rPr>
          <w:bCs/>
        </w:rPr>
        <w:t xml:space="preserve"> </w:t>
      </w:r>
      <w:r>
        <w:rPr>
          <w:bCs/>
        </w:rPr>
        <w:t>use public transport for education trips</w:t>
      </w:r>
      <w:r w:rsidRPr="00AF2043">
        <w:t>.</w:t>
      </w:r>
    </w:p>
    <w:p w:rsidR="005D1289" w:rsidRPr="00AF2043" w:rsidRDefault="005D1289" w:rsidP="00FC5095">
      <w:pPr>
        <w:pStyle w:val="ListParagraph"/>
        <w:numPr>
          <w:ilvl w:val="1"/>
          <w:numId w:val="16"/>
        </w:numPr>
        <w:spacing w:after="120" w:line="240" w:lineRule="auto"/>
        <w:ind w:left="1077"/>
        <w:contextualSpacing w:val="0"/>
        <w:jc w:val="both"/>
        <w:rPr>
          <w:bCs/>
          <w:i/>
        </w:rPr>
      </w:pPr>
      <w:r w:rsidRPr="00AF2043">
        <w:t xml:space="preserve">5 percent in Hobart and Glenorchy </w:t>
      </w:r>
      <w:r>
        <w:t>use public transport for work trips</w:t>
      </w:r>
      <w:r w:rsidRPr="00AF2043">
        <w:t>.</w:t>
      </w:r>
    </w:p>
    <w:p w:rsidR="005D1289" w:rsidRPr="00AF2043" w:rsidRDefault="005D1289" w:rsidP="00FC5095">
      <w:pPr>
        <w:pStyle w:val="ListParagraph"/>
        <w:numPr>
          <w:ilvl w:val="1"/>
          <w:numId w:val="16"/>
        </w:numPr>
        <w:spacing w:after="120" w:line="240" w:lineRule="auto"/>
        <w:ind w:left="1077"/>
        <w:contextualSpacing w:val="0"/>
        <w:jc w:val="both"/>
        <w:rPr>
          <w:bCs/>
          <w:i/>
        </w:rPr>
      </w:pPr>
      <w:r w:rsidRPr="00AF2043">
        <w:t xml:space="preserve">4 percent in Glenorchy and only 1 percent in Hobart </w:t>
      </w:r>
      <w:r>
        <w:t>use public transport for s</w:t>
      </w:r>
      <w:r w:rsidRPr="00AF2043">
        <w:t>hopping trips: (</w:t>
      </w:r>
      <w:r w:rsidRPr="00AF2043">
        <w:rPr>
          <w:bCs/>
        </w:rPr>
        <w:t>Greater Hobart Household Travel Survey 2008/09).</w:t>
      </w:r>
    </w:p>
    <w:p w:rsidR="005D1289" w:rsidRDefault="005D1289" w:rsidP="005D1289">
      <w:pPr>
        <w:pStyle w:val="Heading1"/>
      </w:pPr>
      <w:bookmarkStart w:id="4" w:name="_Toc329331929"/>
      <w:r>
        <w:t>Demographic Influences</w:t>
      </w:r>
      <w:bookmarkEnd w:id="4"/>
    </w:p>
    <w:p w:rsidR="005D1289" w:rsidRPr="00B01A51" w:rsidRDefault="005D1289" w:rsidP="005D1289">
      <w:pPr>
        <w:pStyle w:val="Heading2"/>
      </w:pPr>
      <w:bookmarkStart w:id="5" w:name="_Toc329331930"/>
      <w:r>
        <w:t>Population growth</w:t>
      </w:r>
      <w:bookmarkEnd w:id="5"/>
    </w:p>
    <w:p w:rsidR="005D1289" w:rsidRDefault="005D1289" w:rsidP="005D1289">
      <w:pPr>
        <w:autoSpaceDE w:val="0"/>
        <w:autoSpaceDN w:val="0"/>
        <w:adjustRightInd w:val="0"/>
        <w:spacing w:after="120" w:line="240" w:lineRule="auto"/>
        <w:jc w:val="both"/>
      </w:pPr>
      <w:r>
        <w:t xml:space="preserve">Population </w:t>
      </w:r>
      <w:r w:rsidRPr="009663CC">
        <w:t xml:space="preserve">growth </w:t>
      </w:r>
      <w:r>
        <w:t>creates</w:t>
      </w:r>
      <w:r w:rsidRPr="009663CC">
        <w:t xml:space="preserve"> </w:t>
      </w:r>
      <w:r>
        <w:t xml:space="preserve">an </w:t>
      </w:r>
      <w:r w:rsidRPr="009663CC">
        <w:t xml:space="preserve">increased demand for </w:t>
      </w:r>
      <w:r>
        <w:t>travel.</w:t>
      </w:r>
      <w:r w:rsidRPr="009663CC">
        <w:t xml:space="preserve"> </w:t>
      </w:r>
      <w:r>
        <w:t xml:space="preserve">Growth is occurring in outer urban areas of Hobart’s Northern Suburbs, which will result in additional demand along both arterial road networks. </w:t>
      </w:r>
    </w:p>
    <w:p w:rsidR="005D1289" w:rsidRDefault="005D1289" w:rsidP="005D1289">
      <w:pPr>
        <w:autoSpaceDE w:val="0"/>
        <w:autoSpaceDN w:val="0"/>
        <w:adjustRightInd w:val="0"/>
        <w:spacing w:after="120" w:line="240" w:lineRule="auto"/>
        <w:jc w:val="both"/>
      </w:pPr>
      <w:bookmarkStart w:id="6" w:name="OLE_LINK3"/>
      <w:bookmarkStart w:id="7" w:name="OLE_LINK4"/>
      <w:r>
        <w:t>Brighton Council experienced the highest average annual growth rate of Southern Tasmanian Councils at 2.4 percent from 2001-2008 (ABS 2009). While growth in Brighton is relatively high, it should be noted that this growth is occurring from a small population base, with the population at Brighton being 15 198 people in 2008 (ABS 2009).</w:t>
      </w:r>
    </w:p>
    <w:bookmarkEnd w:id="6"/>
    <w:bookmarkEnd w:id="7"/>
    <w:p w:rsidR="005D1289" w:rsidRDefault="005D1289" w:rsidP="005D1289">
      <w:pPr>
        <w:autoSpaceDE w:val="0"/>
        <w:autoSpaceDN w:val="0"/>
        <w:adjustRightInd w:val="0"/>
        <w:spacing w:after="120" w:line="240" w:lineRule="auto"/>
        <w:jc w:val="both"/>
      </w:pPr>
      <w:r>
        <w:t>In comparison, Glenorchy and Hobart City Councils are experiencing a lower rate of growth, but from a high population base. Hobart is experiencing a higher growth rate than Glenorchy at 0.6 percent, while Glenorchy is only 0.1 percent. In terms of the greatest increase in absolute population numbers, Hobart was the third highest Southern Tasmanian Council,</w:t>
      </w:r>
      <w:r w:rsidRPr="00B01A51">
        <w:t xml:space="preserve"> </w:t>
      </w:r>
      <w:r>
        <w:t>increasing by over 2000 people from 2001-2008, while Glenorchy was less than 500.</w:t>
      </w:r>
    </w:p>
    <w:p w:rsidR="005D1289" w:rsidRDefault="005D1289" w:rsidP="005D1289">
      <w:pPr>
        <w:pStyle w:val="Caption"/>
      </w:pPr>
      <w:r>
        <w:t xml:space="preserve">Figure </w:t>
      </w:r>
      <w:fldSimple w:instr=" SEQ Figure \* ARABIC ">
        <w:r w:rsidR="00361A55">
          <w:rPr>
            <w:noProof/>
          </w:rPr>
          <w:t>1</w:t>
        </w:r>
      </w:fldSimple>
      <w:r>
        <w:tab/>
        <w:t xml:space="preserve"> Population growth by Councils 2001-2008</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2310"/>
        <w:gridCol w:w="2311"/>
        <w:gridCol w:w="2311"/>
      </w:tblGrid>
      <w:tr w:rsidR="005D1289" w:rsidRPr="00FD3C2A" w:rsidTr="000F1246">
        <w:tc>
          <w:tcPr>
            <w:tcW w:w="2310" w:type="dxa"/>
          </w:tcPr>
          <w:p w:rsidR="005D1289" w:rsidRPr="00FD3C2A" w:rsidRDefault="005D1289" w:rsidP="000F1246">
            <w:pPr>
              <w:autoSpaceDE w:val="0"/>
              <w:autoSpaceDN w:val="0"/>
              <w:adjustRightInd w:val="0"/>
              <w:spacing w:after="0" w:line="240" w:lineRule="auto"/>
              <w:rPr>
                <w:b/>
                <w:bCs/>
                <w:sz w:val="18"/>
                <w:szCs w:val="18"/>
              </w:rPr>
            </w:pPr>
            <w:r w:rsidRPr="00FD3C2A">
              <w:rPr>
                <w:b/>
                <w:bCs/>
                <w:sz w:val="18"/>
                <w:szCs w:val="18"/>
              </w:rPr>
              <w:t>Council</w:t>
            </w:r>
          </w:p>
        </w:tc>
        <w:tc>
          <w:tcPr>
            <w:tcW w:w="2310" w:type="dxa"/>
          </w:tcPr>
          <w:p w:rsidR="005D1289" w:rsidRPr="00FD3C2A" w:rsidRDefault="005D1289" w:rsidP="000F1246">
            <w:pPr>
              <w:autoSpaceDE w:val="0"/>
              <w:autoSpaceDN w:val="0"/>
              <w:adjustRightInd w:val="0"/>
              <w:spacing w:after="0" w:line="240" w:lineRule="auto"/>
              <w:rPr>
                <w:b/>
                <w:bCs/>
                <w:sz w:val="18"/>
                <w:szCs w:val="18"/>
              </w:rPr>
            </w:pPr>
            <w:r w:rsidRPr="00FD3C2A">
              <w:rPr>
                <w:b/>
                <w:bCs/>
                <w:sz w:val="18"/>
                <w:szCs w:val="18"/>
              </w:rPr>
              <w:t>2001 Population</w:t>
            </w:r>
          </w:p>
        </w:tc>
        <w:tc>
          <w:tcPr>
            <w:tcW w:w="2311" w:type="dxa"/>
          </w:tcPr>
          <w:p w:rsidR="005D1289" w:rsidRPr="00FD3C2A" w:rsidRDefault="005D1289" w:rsidP="000F1246">
            <w:pPr>
              <w:autoSpaceDE w:val="0"/>
              <w:autoSpaceDN w:val="0"/>
              <w:adjustRightInd w:val="0"/>
              <w:spacing w:after="0" w:line="240" w:lineRule="auto"/>
              <w:rPr>
                <w:b/>
                <w:bCs/>
                <w:sz w:val="18"/>
                <w:szCs w:val="18"/>
              </w:rPr>
            </w:pPr>
            <w:r w:rsidRPr="00FD3C2A">
              <w:rPr>
                <w:b/>
                <w:bCs/>
                <w:sz w:val="18"/>
                <w:szCs w:val="18"/>
              </w:rPr>
              <w:t>2008 Population</w:t>
            </w:r>
          </w:p>
        </w:tc>
        <w:tc>
          <w:tcPr>
            <w:tcW w:w="2311" w:type="dxa"/>
          </w:tcPr>
          <w:p w:rsidR="005D1289" w:rsidRPr="00FD3C2A" w:rsidRDefault="005D1289" w:rsidP="000F1246">
            <w:pPr>
              <w:autoSpaceDE w:val="0"/>
              <w:autoSpaceDN w:val="0"/>
              <w:adjustRightInd w:val="0"/>
              <w:spacing w:after="0" w:line="240" w:lineRule="auto"/>
              <w:rPr>
                <w:b/>
                <w:bCs/>
                <w:sz w:val="18"/>
                <w:szCs w:val="18"/>
              </w:rPr>
            </w:pPr>
            <w:r w:rsidRPr="00FD3C2A">
              <w:rPr>
                <w:b/>
                <w:bCs/>
                <w:sz w:val="18"/>
                <w:szCs w:val="18"/>
              </w:rPr>
              <w:t>Average Annual Growth Rate %</w:t>
            </w:r>
          </w:p>
        </w:tc>
      </w:tr>
      <w:tr w:rsidR="005D1289" w:rsidRPr="00FD3C2A" w:rsidTr="000F1246">
        <w:tc>
          <w:tcPr>
            <w:tcW w:w="2310"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Brighton</w:t>
            </w:r>
          </w:p>
        </w:tc>
        <w:tc>
          <w:tcPr>
            <w:tcW w:w="2310"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12 915</w:t>
            </w:r>
          </w:p>
        </w:tc>
        <w:tc>
          <w:tcPr>
            <w:tcW w:w="2311"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15 198</w:t>
            </w:r>
          </w:p>
        </w:tc>
        <w:tc>
          <w:tcPr>
            <w:tcW w:w="2311"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2.4</w:t>
            </w:r>
          </w:p>
        </w:tc>
      </w:tr>
      <w:tr w:rsidR="005D1289" w:rsidRPr="00FD3C2A" w:rsidTr="000F1246">
        <w:tc>
          <w:tcPr>
            <w:tcW w:w="2310"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Glenorchy</w:t>
            </w:r>
          </w:p>
        </w:tc>
        <w:tc>
          <w:tcPr>
            <w:tcW w:w="2310"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44 003</w:t>
            </w:r>
          </w:p>
        </w:tc>
        <w:tc>
          <w:tcPr>
            <w:tcW w:w="2311"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44 294</w:t>
            </w:r>
          </w:p>
        </w:tc>
        <w:tc>
          <w:tcPr>
            <w:tcW w:w="2311"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0.1</w:t>
            </w:r>
          </w:p>
        </w:tc>
      </w:tr>
      <w:tr w:rsidR="005D1289" w:rsidRPr="00FD3C2A" w:rsidTr="000F1246">
        <w:trPr>
          <w:trHeight w:val="70"/>
        </w:trPr>
        <w:tc>
          <w:tcPr>
            <w:tcW w:w="2310"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Hobart</w:t>
            </w:r>
          </w:p>
        </w:tc>
        <w:tc>
          <w:tcPr>
            <w:tcW w:w="2310"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47 446</w:t>
            </w:r>
          </w:p>
        </w:tc>
        <w:tc>
          <w:tcPr>
            <w:tcW w:w="2311"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49 577</w:t>
            </w:r>
          </w:p>
        </w:tc>
        <w:tc>
          <w:tcPr>
            <w:tcW w:w="2311"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0.6</w:t>
            </w:r>
          </w:p>
        </w:tc>
      </w:tr>
    </w:tbl>
    <w:p w:rsidR="005D1289" w:rsidRPr="008C458F" w:rsidRDefault="005D1289" w:rsidP="005D1289">
      <w:pPr>
        <w:autoSpaceDE w:val="0"/>
        <w:autoSpaceDN w:val="0"/>
        <w:adjustRightInd w:val="0"/>
        <w:spacing w:after="120" w:line="240" w:lineRule="auto"/>
        <w:jc w:val="both"/>
        <w:rPr>
          <w:sz w:val="18"/>
          <w:szCs w:val="18"/>
        </w:rPr>
      </w:pPr>
      <w:r w:rsidRPr="008C458F">
        <w:rPr>
          <w:sz w:val="18"/>
          <w:szCs w:val="18"/>
        </w:rPr>
        <w:t>Source: ABS, 2009.</w:t>
      </w:r>
    </w:p>
    <w:p w:rsidR="005D1289" w:rsidRDefault="005D1289" w:rsidP="005D1289">
      <w:pPr>
        <w:autoSpaceDE w:val="0"/>
        <w:autoSpaceDN w:val="0"/>
        <w:adjustRightInd w:val="0"/>
        <w:spacing w:after="120" w:line="240" w:lineRule="auto"/>
        <w:jc w:val="both"/>
      </w:pPr>
      <w:r>
        <w:t xml:space="preserve">The pattern of growth of suburbs that feed into the Transit Corridor is variable. The suburbs which have had the biggest growth in absolute population numbers from </w:t>
      </w:r>
      <w:r w:rsidRPr="00A4564A">
        <w:t>1991-2006</w:t>
      </w:r>
      <w:r>
        <w:t xml:space="preserve"> include:</w:t>
      </w:r>
    </w:p>
    <w:p w:rsidR="005D1289" w:rsidRDefault="005D1289" w:rsidP="00FC5095">
      <w:pPr>
        <w:pStyle w:val="ListParagraph"/>
        <w:numPr>
          <w:ilvl w:val="0"/>
          <w:numId w:val="8"/>
        </w:numPr>
        <w:autoSpaceDE w:val="0"/>
        <w:autoSpaceDN w:val="0"/>
        <w:adjustRightInd w:val="0"/>
        <w:spacing w:after="120" w:line="240" w:lineRule="auto"/>
        <w:ind w:left="737" w:hanging="357"/>
        <w:contextualSpacing w:val="0"/>
        <w:jc w:val="both"/>
      </w:pPr>
      <w:proofErr w:type="spellStart"/>
      <w:r>
        <w:t>Lenah</w:t>
      </w:r>
      <w:proofErr w:type="spellEnd"/>
      <w:r>
        <w:t xml:space="preserve"> Valley: 750 people.</w:t>
      </w:r>
      <w:r w:rsidRPr="00A4564A">
        <w:t xml:space="preserve"> </w:t>
      </w:r>
    </w:p>
    <w:p w:rsidR="005D1289" w:rsidRPr="00737EFB" w:rsidRDefault="005D1289" w:rsidP="00FC5095">
      <w:pPr>
        <w:pStyle w:val="ListParagraph"/>
        <w:numPr>
          <w:ilvl w:val="0"/>
          <w:numId w:val="8"/>
        </w:numPr>
        <w:autoSpaceDE w:val="0"/>
        <w:autoSpaceDN w:val="0"/>
        <w:adjustRightInd w:val="0"/>
        <w:spacing w:after="120" w:line="240" w:lineRule="auto"/>
        <w:ind w:left="737" w:hanging="357"/>
        <w:contextualSpacing w:val="0"/>
        <w:jc w:val="both"/>
      </w:pPr>
      <w:proofErr w:type="spellStart"/>
      <w:r w:rsidRPr="00737EFB">
        <w:t>Austins</w:t>
      </w:r>
      <w:proofErr w:type="spellEnd"/>
      <w:r w:rsidRPr="00737EFB">
        <w:t xml:space="preserve"> Ferry, Claremont, Berriedale, Montrose, Glenorchy, West Moonah, Mount Stuart, </w:t>
      </w:r>
      <w:proofErr w:type="gramStart"/>
      <w:r w:rsidRPr="00737EFB">
        <w:t>Hobart</w:t>
      </w:r>
      <w:proofErr w:type="gramEnd"/>
      <w:r w:rsidRPr="00737EFB">
        <w:t>: 100 to 750 people</w:t>
      </w:r>
      <w:r>
        <w:t xml:space="preserve"> (ABS 2006)</w:t>
      </w:r>
      <w:r w:rsidRPr="00737EFB">
        <w:t xml:space="preserve">. </w:t>
      </w:r>
    </w:p>
    <w:p w:rsidR="005D1289" w:rsidRDefault="005D1289" w:rsidP="005D1289">
      <w:pPr>
        <w:pStyle w:val="Heading2"/>
      </w:pPr>
      <w:bookmarkStart w:id="8" w:name="_Toc329331931"/>
      <w:r>
        <w:t>Population forecasts</w:t>
      </w:r>
      <w:bookmarkEnd w:id="8"/>
    </w:p>
    <w:p w:rsidR="005D1289" w:rsidRDefault="005D1289" w:rsidP="005D1289">
      <w:pPr>
        <w:autoSpaceDE w:val="0"/>
        <w:autoSpaceDN w:val="0"/>
        <w:adjustRightInd w:val="0"/>
        <w:spacing w:after="120" w:line="240" w:lineRule="auto"/>
        <w:jc w:val="both"/>
      </w:pPr>
      <w:r w:rsidRPr="00782683">
        <w:t>From a transport planning perspective it is important to consider population forecasts. The Tasmania</w:t>
      </w:r>
      <w:r>
        <w:t>n</w:t>
      </w:r>
      <w:r w:rsidRPr="00782683">
        <w:t xml:space="preserve"> Demographic Change Advisory Council (</w:t>
      </w:r>
      <w:proofErr w:type="spellStart"/>
      <w:r w:rsidRPr="00782683">
        <w:t>DCAC</w:t>
      </w:r>
      <w:proofErr w:type="spellEnd"/>
      <w:r w:rsidRPr="00782683">
        <w:t xml:space="preserve">) has undertaken population forecasting for </w:t>
      </w:r>
      <w:r>
        <w:t>Councils</w:t>
      </w:r>
      <w:r w:rsidRPr="00782683">
        <w:t xml:space="preserve"> based on different population </w:t>
      </w:r>
      <w:r>
        <w:t xml:space="preserve">growth </w:t>
      </w:r>
      <w:r w:rsidRPr="00782683">
        <w:t xml:space="preserve">scenarios. These forecasts </w:t>
      </w:r>
      <w:r>
        <w:t xml:space="preserve">are based on historical growth patterns and </w:t>
      </w:r>
      <w:r w:rsidRPr="00782683">
        <w:t>do not take into account constraints to significan</w:t>
      </w:r>
      <w:r>
        <w:t xml:space="preserve">t further residential development, </w:t>
      </w:r>
      <w:r w:rsidRPr="00782683">
        <w:t xml:space="preserve">new </w:t>
      </w:r>
      <w:r>
        <w:t xml:space="preserve">employment opportunities </w:t>
      </w:r>
      <w:r w:rsidRPr="00782683">
        <w:t>and the relative attractiveness of loca</w:t>
      </w:r>
      <w:r>
        <w:t>tions associated with lifestyle or social status. The medium scenario is based on assumptions that are most similar to recent trends and should be the scenario used for planning purposes.</w:t>
      </w:r>
    </w:p>
    <w:p w:rsidR="005D1289" w:rsidRDefault="005D1289" w:rsidP="005D1289">
      <w:pPr>
        <w:pStyle w:val="Caption"/>
        <w:spacing w:after="120"/>
        <w:sectPr w:rsidR="005D1289" w:rsidSect="0081590E">
          <w:pgSz w:w="11906" w:h="16838"/>
          <w:pgMar w:top="1440" w:right="1440" w:bottom="1440" w:left="1440" w:header="708" w:footer="708" w:gutter="0"/>
          <w:cols w:space="708"/>
          <w:docGrid w:linePitch="360"/>
        </w:sectPr>
      </w:pPr>
    </w:p>
    <w:p w:rsidR="005D1289" w:rsidRDefault="005D1289" w:rsidP="005D1289">
      <w:pPr>
        <w:pStyle w:val="Caption"/>
        <w:spacing w:after="120"/>
      </w:pPr>
      <w:r>
        <w:lastRenderedPageBreak/>
        <w:t xml:space="preserve">Figure </w:t>
      </w:r>
      <w:fldSimple w:instr=" SEQ Figure \* ARABIC ">
        <w:r w:rsidR="00361A55">
          <w:rPr>
            <w:noProof/>
          </w:rPr>
          <w:t>2</w:t>
        </w:r>
      </w:fldSimple>
      <w:r>
        <w:t xml:space="preserve"> Population forecasts by Council for High and Medium Scenarios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2310"/>
        <w:gridCol w:w="2311"/>
        <w:gridCol w:w="2311"/>
      </w:tblGrid>
      <w:tr w:rsidR="005D1289" w:rsidRPr="00FD3C2A" w:rsidTr="000F1246">
        <w:tc>
          <w:tcPr>
            <w:tcW w:w="2310" w:type="dxa"/>
          </w:tcPr>
          <w:p w:rsidR="005D1289" w:rsidRPr="00FD3C2A" w:rsidRDefault="005D1289" w:rsidP="000F1246">
            <w:pPr>
              <w:autoSpaceDE w:val="0"/>
              <w:autoSpaceDN w:val="0"/>
              <w:adjustRightInd w:val="0"/>
              <w:spacing w:after="0" w:line="240" w:lineRule="auto"/>
              <w:rPr>
                <w:b/>
                <w:bCs/>
                <w:sz w:val="18"/>
                <w:szCs w:val="18"/>
              </w:rPr>
            </w:pPr>
            <w:r w:rsidRPr="00FD3C2A">
              <w:rPr>
                <w:b/>
                <w:bCs/>
                <w:sz w:val="18"/>
                <w:szCs w:val="18"/>
              </w:rPr>
              <w:t>Local Government Area</w:t>
            </w:r>
          </w:p>
        </w:tc>
        <w:tc>
          <w:tcPr>
            <w:tcW w:w="2310" w:type="dxa"/>
          </w:tcPr>
          <w:p w:rsidR="005D1289" w:rsidRPr="00FD3C2A" w:rsidRDefault="005D1289" w:rsidP="000F1246">
            <w:pPr>
              <w:autoSpaceDE w:val="0"/>
              <w:autoSpaceDN w:val="0"/>
              <w:adjustRightInd w:val="0"/>
              <w:spacing w:after="0" w:line="240" w:lineRule="auto"/>
              <w:rPr>
                <w:b/>
                <w:bCs/>
                <w:sz w:val="18"/>
                <w:szCs w:val="18"/>
              </w:rPr>
            </w:pPr>
            <w:r w:rsidRPr="00FD3C2A">
              <w:rPr>
                <w:b/>
                <w:bCs/>
                <w:sz w:val="18"/>
                <w:szCs w:val="18"/>
              </w:rPr>
              <w:t>2007  Population</w:t>
            </w:r>
          </w:p>
        </w:tc>
        <w:tc>
          <w:tcPr>
            <w:tcW w:w="2311" w:type="dxa"/>
          </w:tcPr>
          <w:p w:rsidR="005D1289" w:rsidRPr="00FD3C2A" w:rsidRDefault="005D1289" w:rsidP="000F1246">
            <w:pPr>
              <w:autoSpaceDE w:val="0"/>
              <w:autoSpaceDN w:val="0"/>
              <w:adjustRightInd w:val="0"/>
              <w:spacing w:after="0" w:line="240" w:lineRule="auto"/>
              <w:rPr>
                <w:b/>
                <w:bCs/>
                <w:sz w:val="18"/>
                <w:szCs w:val="18"/>
              </w:rPr>
            </w:pPr>
            <w:r w:rsidRPr="00FD3C2A">
              <w:rPr>
                <w:b/>
                <w:bCs/>
                <w:sz w:val="18"/>
                <w:szCs w:val="18"/>
              </w:rPr>
              <w:t>2020 Population</w:t>
            </w:r>
          </w:p>
        </w:tc>
        <w:tc>
          <w:tcPr>
            <w:tcW w:w="2311" w:type="dxa"/>
          </w:tcPr>
          <w:p w:rsidR="005D1289" w:rsidRPr="00FD3C2A" w:rsidRDefault="005D1289" w:rsidP="000F1246">
            <w:pPr>
              <w:autoSpaceDE w:val="0"/>
              <w:autoSpaceDN w:val="0"/>
              <w:adjustRightInd w:val="0"/>
              <w:spacing w:after="0" w:line="240" w:lineRule="auto"/>
              <w:rPr>
                <w:b/>
                <w:bCs/>
                <w:sz w:val="18"/>
                <w:szCs w:val="18"/>
              </w:rPr>
            </w:pPr>
            <w:r w:rsidRPr="00FD3C2A">
              <w:rPr>
                <w:b/>
                <w:bCs/>
                <w:sz w:val="18"/>
                <w:szCs w:val="18"/>
              </w:rPr>
              <w:t>2032 Population</w:t>
            </w:r>
          </w:p>
        </w:tc>
      </w:tr>
      <w:tr w:rsidR="005D1289" w:rsidRPr="00FD3C2A" w:rsidTr="000F1246">
        <w:tc>
          <w:tcPr>
            <w:tcW w:w="2310"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Brighton (High)</w:t>
            </w:r>
          </w:p>
        </w:tc>
        <w:tc>
          <w:tcPr>
            <w:tcW w:w="2310"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14 827</w:t>
            </w:r>
          </w:p>
        </w:tc>
        <w:tc>
          <w:tcPr>
            <w:tcW w:w="2311"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20 665</w:t>
            </w:r>
          </w:p>
        </w:tc>
        <w:tc>
          <w:tcPr>
            <w:tcW w:w="2311"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26 753</w:t>
            </w:r>
          </w:p>
        </w:tc>
      </w:tr>
      <w:tr w:rsidR="005D1289" w:rsidRPr="00FD3C2A" w:rsidTr="000F1246">
        <w:tc>
          <w:tcPr>
            <w:tcW w:w="2310"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Brighton (Medium)</w:t>
            </w:r>
          </w:p>
        </w:tc>
        <w:tc>
          <w:tcPr>
            <w:tcW w:w="2310"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14 827</w:t>
            </w:r>
          </w:p>
        </w:tc>
        <w:tc>
          <w:tcPr>
            <w:tcW w:w="2311"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19 349</w:t>
            </w:r>
          </w:p>
        </w:tc>
        <w:tc>
          <w:tcPr>
            <w:tcW w:w="2311"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24 599</w:t>
            </w:r>
          </w:p>
        </w:tc>
      </w:tr>
      <w:tr w:rsidR="005D1289" w:rsidRPr="00FD3C2A" w:rsidTr="000F1246">
        <w:tc>
          <w:tcPr>
            <w:tcW w:w="2310"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Glenorchy (High)</w:t>
            </w:r>
          </w:p>
        </w:tc>
        <w:tc>
          <w:tcPr>
            <w:tcW w:w="2310"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44 309</w:t>
            </w:r>
          </w:p>
        </w:tc>
        <w:tc>
          <w:tcPr>
            <w:tcW w:w="2311"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46 551</w:t>
            </w:r>
          </w:p>
        </w:tc>
        <w:tc>
          <w:tcPr>
            <w:tcW w:w="2311"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48 405</w:t>
            </w:r>
          </w:p>
        </w:tc>
      </w:tr>
      <w:tr w:rsidR="005D1289" w:rsidRPr="00FD3C2A" w:rsidTr="000F1246">
        <w:tc>
          <w:tcPr>
            <w:tcW w:w="2310"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Glenorchy (Medium)</w:t>
            </w:r>
          </w:p>
        </w:tc>
        <w:tc>
          <w:tcPr>
            <w:tcW w:w="2310"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44 309</w:t>
            </w:r>
          </w:p>
        </w:tc>
        <w:tc>
          <w:tcPr>
            <w:tcW w:w="2311"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44 540</w:t>
            </w:r>
          </w:p>
        </w:tc>
        <w:tc>
          <w:tcPr>
            <w:tcW w:w="2311"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44 042</w:t>
            </w:r>
          </w:p>
        </w:tc>
      </w:tr>
      <w:tr w:rsidR="005D1289" w:rsidRPr="00FD3C2A" w:rsidTr="000F1246">
        <w:tc>
          <w:tcPr>
            <w:tcW w:w="2310"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Hobart (High)</w:t>
            </w:r>
          </w:p>
        </w:tc>
        <w:tc>
          <w:tcPr>
            <w:tcW w:w="2310"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49 593</w:t>
            </w:r>
          </w:p>
        </w:tc>
        <w:tc>
          <w:tcPr>
            <w:tcW w:w="2311"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58 236</w:t>
            </w:r>
          </w:p>
        </w:tc>
        <w:tc>
          <w:tcPr>
            <w:tcW w:w="2311"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66 427</w:t>
            </w:r>
          </w:p>
        </w:tc>
      </w:tr>
      <w:tr w:rsidR="005D1289" w:rsidRPr="00FD3C2A" w:rsidTr="000F1246">
        <w:tc>
          <w:tcPr>
            <w:tcW w:w="2310" w:type="dxa"/>
          </w:tcPr>
          <w:p w:rsidR="005D1289" w:rsidRPr="00FD3C2A" w:rsidRDefault="005D1289" w:rsidP="000F1246">
            <w:pPr>
              <w:autoSpaceDE w:val="0"/>
              <w:autoSpaceDN w:val="0"/>
              <w:adjustRightInd w:val="0"/>
              <w:spacing w:after="0" w:line="240" w:lineRule="auto"/>
              <w:rPr>
                <w:sz w:val="18"/>
                <w:szCs w:val="18"/>
              </w:rPr>
            </w:pPr>
            <w:r>
              <w:rPr>
                <w:sz w:val="18"/>
                <w:szCs w:val="18"/>
              </w:rPr>
              <w:t>Hobart (Medium)</w:t>
            </w:r>
          </w:p>
        </w:tc>
        <w:tc>
          <w:tcPr>
            <w:tcW w:w="2310"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49 593</w:t>
            </w:r>
          </w:p>
        </w:tc>
        <w:tc>
          <w:tcPr>
            <w:tcW w:w="2311"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54 219</w:t>
            </w:r>
          </w:p>
        </w:tc>
        <w:tc>
          <w:tcPr>
            <w:tcW w:w="2311" w:type="dxa"/>
          </w:tcPr>
          <w:p w:rsidR="005D1289" w:rsidRPr="00FD3C2A" w:rsidRDefault="005D1289" w:rsidP="000F1246">
            <w:pPr>
              <w:autoSpaceDE w:val="0"/>
              <w:autoSpaceDN w:val="0"/>
              <w:adjustRightInd w:val="0"/>
              <w:spacing w:after="0" w:line="240" w:lineRule="auto"/>
              <w:rPr>
                <w:sz w:val="18"/>
                <w:szCs w:val="18"/>
              </w:rPr>
            </w:pPr>
            <w:r w:rsidRPr="00FD3C2A">
              <w:rPr>
                <w:sz w:val="18"/>
                <w:szCs w:val="18"/>
              </w:rPr>
              <w:t>58 389</w:t>
            </w:r>
          </w:p>
        </w:tc>
      </w:tr>
    </w:tbl>
    <w:p w:rsidR="005D1289" w:rsidRPr="000B1C1F" w:rsidRDefault="005D1289" w:rsidP="005D1289">
      <w:pPr>
        <w:autoSpaceDE w:val="0"/>
        <w:autoSpaceDN w:val="0"/>
        <w:adjustRightInd w:val="0"/>
        <w:spacing w:after="120" w:line="240" w:lineRule="auto"/>
        <w:jc w:val="both"/>
        <w:rPr>
          <w:sz w:val="18"/>
          <w:szCs w:val="18"/>
        </w:rPr>
      </w:pPr>
      <w:r w:rsidRPr="00C040B4">
        <w:rPr>
          <w:sz w:val="18"/>
          <w:szCs w:val="18"/>
        </w:rPr>
        <w:t xml:space="preserve">Source: </w:t>
      </w:r>
      <w:proofErr w:type="spellStart"/>
      <w:r w:rsidRPr="00C040B4">
        <w:rPr>
          <w:sz w:val="18"/>
          <w:szCs w:val="18"/>
        </w:rPr>
        <w:t>DCAC</w:t>
      </w:r>
      <w:proofErr w:type="spellEnd"/>
      <w:r w:rsidRPr="00C040B4">
        <w:rPr>
          <w:sz w:val="18"/>
          <w:szCs w:val="18"/>
        </w:rPr>
        <w:t>, 2008</w:t>
      </w:r>
      <w:r>
        <w:rPr>
          <w:sz w:val="18"/>
          <w:szCs w:val="18"/>
        </w:rPr>
        <w:t>.</w:t>
      </w:r>
    </w:p>
    <w:p w:rsidR="005D1289" w:rsidRDefault="005D1289" w:rsidP="005D1289">
      <w:pPr>
        <w:autoSpaceDE w:val="0"/>
        <w:autoSpaceDN w:val="0"/>
        <w:adjustRightInd w:val="0"/>
        <w:spacing w:after="120" w:line="240" w:lineRule="auto"/>
        <w:jc w:val="both"/>
      </w:pPr>
      <w:r w:rsidRPr="007F262A">
        <w:t xml:space="preserve">In 2032, projections indicate that between </w:t>
      </w:r>
      <w:r>
        <w:t>9 800</w:t>
      </w:r>
      <w:r w:rsidRPr="007F262A">
        <w:t xml:space="preserve"> and </w:t>
      </w:r>
      <w:r>
        <w:t>11 900</w:t>
      </w:r>
      <w:r w:rsidRPr="007F262A">
        <w:t xml:space="preserve"> </w:t>
      </w:r>
      <w:r>
        <w:t xml:space="preserve">more </w:t>
      </w:r>
      <w:r w:rsidRPr="007F262A">
        <w:t xml:space="preserve">people will live in Brighton, </w:t>
      </w:r>
      <w:r>
        <w:t xml:space="preserve">which is a 65 to 80 percent increase in population. In comparison, growth in Glenorchy is expected to be static, with a small decline forecast under the medium scenario. </w:t>
      </w:r>
    </w:p>
    <w:p w:rsidR="005D1289" w:rsidRDefault="005D1289" w:rsidP="005D1289">
      <w:pPr>
        <w:autoSpaceDE w:val="0"/>
        <w:autoSpaceDN w:val="0"/>
        <w:adjustRightInd w:val="0"/>
        <w:spacing w:after="120" w:line="240" w:lineRule="auto"/>
        <w:jc w:val="both"/>
      </w:pPr>
      <w:r>
        <w:t xml:space="preserve">Hobart is expected to grow by between </w:t>
      </w:r>
      <w:bookmarkStart w:id="9" w:name="OLE_LINK1"/>
      <w:bookmarkStart w:id="10" w:name="OLE_LINK2"/>
      <w:r>
        <w:t>8 800 to 16 800 people</w:t>
      </w:r>
      <w:bookmarkEnd w:id="9"/>
      <w:bookmarkEnd w:id="10"/>
      <w:r>
        <w:t>, which is more people than Brighton in absolute terms, but at lower percentage growth rate (between 15 to 25 percent).</w:t>
      </w:r>
    </w:p>
    <w:p w:rsidR="005D1289" w:rsidRDefault="005D1289" w:rsidP="005D1289">
      <w:pPr>
        <w:autoSpaceDE w:val="0"/>
        <w:autoSpaceDN w:val="0"/>
        <w:adjustRightInd w:val="0"/>
        <w:spacing w:after="120" w:line="240" w:lineRule="auto"/>
        <w:jc w:val="both"/>
      </w:pPr>
      <w:r>
        <w:t xml:space="preserve">Glenorchy has low growth forecasts because it has had low growth over the last decade. These low growth rates can be attributed to a high net migration loss. From </w:t>
      </w:r>
      <w:r w:rsidRPr="00521A65">
        <w:t>2001 to 2006, Glenorchy experienced a net</w:t>
      </w:r>
      <w:r>
        <w:t xml:space="preserve"> migration loss of 560 persons, </w:t>
      </w:r>
      <w:r w:rsidRPr="00521A65">
        <w:t xml:space="preserve">the largest net migration loss of </w:t>
      </w:r>
      <w:r>
        <w:t>all</w:t>
      </w:r>
      <w:r w:rsidRPr="00521A65">
        <w:t xml:space="preserve"> </w:t>
      </w:r>
      <w:r>
        <w:t xml:space="preserve">Tasmanian Councils. In comparison, </w:t>
      </w:r>
      <w:r w:rsidRPr="00521A65">
        <w:t xml:space="preserve">Hobart experienced a net </w:t>
      </w:r>
      <w:r>
        <w:t xml:space="preserve">migration gain of 1620 persons, the </w:t>
      </w:r>
      <w:r w:rsidRPr="00521A65">
        <w:t xml:space="preserve">largest net migration gain </w:t>
      </w:r>
      <w:r>
        <w:t>of any Tasmanian Council (</w:t>
      </w:r>
      <w:proofErr w:type="spellStart"/>
      <w:r>
        <w:t>DCAC</w:t>
      </w:r>
      <w:proofErr w:type="spellEnd"/>
      <w:r>
        <w:t xml:space="preserve"> 2008). </w:t>
      </w:r>
    </w:p>
    <w:p w:rsidR="005D1289" w:rsidRPr="00864A13" w:rsidRDefault="005D1289" w:rsidP="005D1289">
      <w:pPr>
        <w:pStyle w:val="Heading2"/>
      </w:pPr>
      <w:bookmarkStart w:id="11" w:name="_Toc329331932"/>
      <w:r>
        <w:t>Ageing population</w:t>
      </w:r>
      <w:bookmarkEnd w:id="11"/>
      <w:r>
        <w:t xml:space="preserve"> </w:t>
      </w:r>
    </w:p>
    <w:p w:rsidR="005D1289" w:rsidRPr="004B7454" w:rsidRDefault="005D1289" w:rsidP="005D1289">
      <w:pPr>
        <w:pStyle w:val="ListParagraph"/>
        <w:autoSpaceDE w:val="0"/>
        <w:autoSpaceDN w:val="0"/>
        <w:adjustRightInd w:val="0"/>
        <w:spacing w:after="120" w:line="240" w:lineRule="auto"/>
        <w:ind w:left="0"/>
        <w:jc w:val="both"/>
        <w:rPr>
          <w:color w:val="000000"/>
        </w:rPr>
      </w:pPr>
      <w:r>
        <w:t xml:space="preserve">Tasmania has the oldest population profile in Australia and the population </w:t>
      </w:r>
      <w:r w:rsidRPr="0015286B">
        <w:t xml:space="preserve">is projected </w:t>
      </w:r>
      <w:r>
        <w:t xml:space="preserve">to </w:t>
      </w:r>
      <w:r w:rsidRPr="0015286B">
        <w:t xml:space="preserve">experience </w:t>
      </w:r>
      <w:r>
        <w:t>ageing</w:t>
      </w:r>
      <w:r w:rsidRPr="0015286B">
        <w:t xml:space="preserve"> more rapidly than other </w:t>
      </w:r>
      <w:proofErr w:type="spellStart"/>
      <w:r>
        <w:t>jurisdications</w:t>
      </w:r>
      <w:proofErr w:type="spellEnd"/>
      <w:r w:rsidRPr="0015286B">
        <w:t>.</w:t>
      </w:r>
      <w:r>
        <w:t xml:space="preserve"> </w:t>
      </w:r>
      <w:r w:rsidRPr="0015286B">
        <w:rPr>
          <w:color w:val="000000"/>
        </w:rPr>
        <w:t xml:space="preserve">Changes associated with population </w:t>
      </w:r>
      <w:r>
        <w:rPr>
          <w:color w:val="000000"/>
        </w:rPr>
        <w:t>ageing</w:t>
      </w:r>
      <w:r w:rsidRPr="0015286B">
        <w:rPr>
          <w:color w:val="000000"/>
        </w:rPr>
        <w:t xml:space="preserve"> will impact on </w:t>
      </w:r>
      <w:r>
        <w:rPr>
          <w:color w:val="000000"/>
        </w:rPr>
        <w:t>both housing and transport needs</w:t>
      </w:r>
      <w:bookmarkStart w:id="12" w:name="OLE_LINK63"/>
      <w:bookmarkStart w:id="13" w:name="OLE_LINK64"/>
      <w:r>
        <w:rPr>
          <w:color w:val="000000"/>
        </w:rPr>
        <w:t>. These issues are discussed in more detail in the Problem Identification Report.</w:t>
      </w:r>
    </w:p>
    <w:bookmarkEnd w:id="12"/>
    <w:bookmarkEnd w:id="13"/>
    <w:p w:rsidR="005D1289" w:rsidRDefault="005D1289" w:rsidP="005D1289">
      <w:pPr>
        <w:autoSpaceDE w:val="0"/>
        <w:autoSpaceDN w:val="0"/>
        <w:adjustRightInd w:val="0"/>
        <w:spacing w:after="120" w:line="240" w:lineRule="auto"/>
        <w:jc w:val="both"/>
      </w:pPr>
      <w:r>
        <w:t>Hobart City Council has a younger age profile and is forecast to age less rapidly</w:t>
      </w:r>
      <w:r w:rsidRPr="00741DB4">
        <w:t xml:space="preserve"> </w:t>
      </w:r>
      <w:r>
        <w:t>than Glenorchy:</w:t>
      </w:r>
    </w:p>
    <w:p w:rsidR="005D1289" w:rsidRPr="006D2E09" w:rsidRDefault="005D1289" w:rsidP="00FC5095">
      <w:pPr>
        <w:pStyle w:val="ListParagraph"/>
        <w:numPr>
          <w:ilvl w:val="0"/>
          <w:numId w:val="9"/>
        </w:numPr>
        <w:autoSpaceDE w:val="0"/>
        <w:autoSpaceDN w:val="0"/>
        <w:adjustRightInd w:val="0"/>
        <w:spacing w:after="120" w:line="240" w:lineRule="auto"/>
        <w:contextualSpacing w:val="0"/>
        <w:jc w:val="both"/>
      </w:pPr>
      <w:r>
        <w:t xml:space="preserve">Median age: 36.7 years (2006) - fourth lowest in the State and the </w:t>
      </w:r>
      <w:r w:rsidRPr="006D2E09">
        <w:t xml:space="preserve">only </w:t>
      </w:r>
      <w:r>
        <w:t>Council</w:t>
      </w:r>
      <w:r w:rsidRPr="006D2E09">
        <w:t xml:space="preserve"> to record a decline in its median age </w:t>
      </w:r>
      <w:r>
        <w:t>from</w:t>
      </w:r>
      <w:r w:rsidRPr="006D2E09">
        <w:t xml:space="preserve"> 2001 to 2006. </w:t>
      </w:r>
    </w:p>
    <w:p w:rsidR="005D1289" w:rsidRPr="00C16EC5" w:rsidRDefault="005D1289" w:rsidP="00FC5095">
      <w:pPr>
        <w:pStyle w:val="ListParagraph"/>
        <w:numPr>
          <w:ilvl w:val="0"/>
          <w:numId w:val="9"/>
        </w:numPr>
        <w:autoSpaceDE w:val="0"/>
        <w:autoSpaceDN w:val="0"/>
        <w:adjustRightInd w:val="0"/>
        <w:spacing w:after="120" w:line="240" w:lineRule="auto"/>
        <w:contextualSpacing w:val="0"/>
        <w:jc w:val="both"/>
      </w:pPr>
      <w:r>
        <w:t>P</w:t>
      </w:r>
      <w:r w:rsidRPr="00ED71B1">
        <w:t xml:space="preserve">opulation growth </w:t>
      </w:r>
      <w:r>
        <w:t xml:space="preserve">from 2001 to 2006 occurred </w:t>
      </w:r>
      <w:r w:rsidRPr="00ED71B1">
        <w:t xml:space="preserve">in </w:t>
      </w:r>
      <w:r>
        <w:t xml:space="preserve">the </w:t>
      </w:r>
      <w:r w:rsidRPr="00ED71B1">
        <w:t>1</w:t>
      </w:r>
      <w:r>
        <w:t xml:space="preserve">5 to 29 age group and over 45 years. </w:t>
      </w:r>
    </w:p>
    <w:p w:rsidR="005D1289" w:rsidRPr="00991DC9" w:rsidRDefault="005D1289" w:rsidP="00FC5095">
      <w:pPr>
        <w:pStyle w:val="ListParagraph"/>
        <w:numPr>
          <w:ilvl w:val="0"/>
          <w:numId w:val="9"/>
        </w:numPr>
        <w:autoSpaceDE w:val="0"/>
        <w:autoSpaceDN w:val="0"/>
        <w:adjustRightInd w:val="0"/>
        <w:spacing w:after="120" w:line="240" w:lineRule="auto"/>
        <w:contextualSpacing w:val="0"/>
        <w:jc w:val="both"/>
      </w:pPr>
      <w:r>
        <w:t xml:space="preserve">In 2007, Hobart had 12.3 percent of its population aged </w:t>
      </w:r>
      <w:proofErr w:type="gramStart"/>
      <w:r>
        <w:t>between 18-25, compared to the State average of 7.7 percent</w:t>
      </w:r>
      <w:proofErr w:type="gramEnd"/>
      <w:r>
        <w:t>.</w:t>
      </w:r>
    </w:p>
    <w:p w:rsidR="005D1289" w:rsidRPr="006D2E09" w:rsidRDefault="005D1289" w:rsidP="00FC5095">
      <w:pPr>
        <w:pStyle w:val="ListParagraph"/>
        <w:numPr>
          <w:ilvl w:val="0"/>
          <w:numId w:val="9"/>
        </w:numPr>
        <w:autoSpaceDE w:val="0"/>
        <w:autoSpaceDN w:val="0"/>
        <w:adjustRightInd w:val="0"/>
        <w:spacing w:after="120" w:line="240" w:lineRule="auto"/>
        <w:contextualSpacing w:val="0"/>
        <w:jc w:val="both"/>
      </w:pPr>
      <w:r>
        <w:t>Population over 65 is forecast to increase from 13.6 percent in 2007 to 19.1 percent</w:t>
      </w:r>
      <w:r w:rsidRPr="00741DB4">
        <w:t xml:space="preserve"> </w:t>
      </w:r>
      <w:r>
        <w:t>by 2032</w:t>
      </w:r>
      <w:r w:rsidRPr="00741DB4">
        <w:t xml:space="preserve"> </w:t>
      </w:r>
      <w:r w:rsidRPr="006D2E09">
        <w:t>(</w:t>
      </w:r>
      <w:proofErr w:type="spellStart"/>
      <w:r w:rsidRPr="006D2E09">
        <w:t>DCAC</w:t>
      </w:r>
      <w:proofErr w:type="spellEnd"/>
      <w:r w:rsidRPr="006D2E09">
        <w:t xml:space="preserve"> 2008)</w:t>
      </w:r>
      <w:r>
        <w:t>.</w:t>
      </w:r>
    </w:p>
    <w:p w:rsidR="005D1289" w:rsidRPr="006D2E09" w:rsidRDefault="005D1289" w:rsidP="005D1289">
      <w:pPr>
        <w:autoSpaceDE w:val="0"/>
        <w:autoSpaceDN w:val="0"/>
        <w:adjustRightInd w:val="0"/>
        <w:spacing w:after="120" w:line="240" w:lineRule="auto"/>
        <w:jc w:val="both"/>
      </w:pPr>
      <w:r w:rsidRPr="006D2E09">
        <w:t>Hobart’s lower median age can be attributed to the attraction of the</w:t>
      </w:r>
      <w:r w:rsidRPr="006D2E09">
        <w:rPr>
          <w:color w:val="000000"/>
        </w:rPr>
        <w:t xml:space="preserve"> </w:t>
      </w:r>
      <w:r w:rsidRPr="006D2E09">
        <w:t xml:space="preserve">working </w:t>
      </w:r>
      <w:r>
        <w:t xml:space="preserve">and university aged </w:t>
      </w:r>
      <w:r w:rsidRPr="006D2E09">
        <w:t xml:space="preserve">population living within </w:t>
      </w:r>
      <w:r>
        <w:t>the area</w:t>
      </w:r>
      <w:r w:rsidRPr="006D2E09">
        <w:t>.</w:t>
      </w:r>
    </w:p>
    <w:p w:rsidR="005D1289" w:rsidRDefault="005D1289" w:rsidP="005D1289">
      <w:pPr>
        <w:autoSpaceDE w:val="0"/>
        <w:autoSpaceDN w:val="0"/>
        <w:adjustRightInd w:val="0"/>
        <w:spacing w:after="120" w:line="240" w:lineRule="auto"/>
        <w:jc w:val="both"/>
      </w:pPr>
      <w:r>
        <w:t>Glenorchy has an older</w:t>
      </w:r>
      <w:r w:rsidRPr="0015286B">
        <w:t xml:space="preserve"> </w:t>
      </w:r>
      <w:r>
        <w:t>age profile and is forecast to age more rapidly:</w:t>
      </w:r>
    </w:p>
    <w:p w:rsidR="005D1289" w:rsidRDefault="005D1289" w:rsidP="00FC5095">
      <w:pPr>
        <w:pStyle w:val="ListParagraph"/>
        <w:numPr>
          <w:ilvl w:val="0"/>
          <w:numId w:val="10"/>
        </w:numPr>
        <w:autoSpaceDE w:val="0"/>
        <w:autoSpaceDN w:val="0"/>
        <w:adjustRightInd w:val="0"/>
        <w:spacing w:after="120" w:line="240" w:lineRule="auto"/>
        <w:contextualSpacing w:val="0"/>
        <w:jc w:val="both"/>
      </w:pPr>
      <w:r w:rsidRPr="006D2E09">
        <w:t>Median</w:t>
      </w:r>
      <w:r>
        <w:t xml:space="preserve"> age: 38.7 years (2006) - </w:t>
      </w:r>
      <w:r w:rsidRPr="006D2E09">
        <w:t xml:space="preserve">eight lowest in the State. </w:t>
      </w:r>
    </w:p>
    <w:p w:rsidR="005D1289" w:rsidRPr="006D2E09" w:rsidRDefault="005D1289" w:rsidP="00FC5095">
      <w:pPr>
        <w:pStyle w:val="ListParagraph"/>
        <w:numPr>
          <w:ilvl w:val="0"/>
          <w:numId w:val="10"/>
        </w:numPr>
        <w:autoSpaceDE w:val="0"/>
        <w:autoSpaceDN w:val="0"/>
        <w:adjustRightInd w:val="0"/>
        <w:spacing w:after="120" w:line="240" w:lineRule="auto"/>
        <w:contextualSpacing w:val="0"/>
        <w:jc w:val="both"/>
      </w:pPr>
      <w:r w:rsidRPr="006D2E09">
        <w:t xml:space="preserve">Population growth </w:t>
      </w:r>
      <w:r>
        <w:t>from</w:t>
      </w:r>
      <w:r w:rsidRPr="006D2E09">
        <w:t xml:space="preserve"> </w:t>
      </w:r>
      <w:r>
        <w:t xml:space="preserve">2001 to 2006 </w:t>
      </w:r>
      <w:r w:rsidRPr="006D2E09">
        <w:t xml:space="preserve">occurred in </w:t>
      </w:r>
      <w:r w:rsidRPr="00ED71B1">
        <w:t xml:space="preserve">all age groups </w:t>
      </w:r>
      <w:r>
        <w:t>above</w:t>
      </w:r>
      <w:r w:rsidRPr="00ED71B1">
        <w:t xml:space="preserve"> 45 </w:t>
      </w:r>
      <w:r>
        <w:t xml:space="preserve">years </w:t>
      </w:r>
      <w:r w:rsidRPr="00ED71B1">
        <w:t xml:space="preserve">while </w:t>
      </w:r>
      <w:r>
        <w:t>the</w:t>
      </w:r>
      <w:r w:rsidRPr="00ED71B1">
        <w:t xml:space="preserve"> population decline</w:t>
      </w:r>
      <w:r>
        <w:t>d</w:t>
      </w:r>
      <w:r w:rsidRPr="00ED71B1">
        <w:t xml:space="preserve"> in the age groups </w:t>
      </w:r>
      <w:r>
        <w:t>below 44 years</w:t>
      </w:r>
      <w:r w:rsidRPr="00ED71B1">
        <w:t>.</w:t>
      </w:r>
      <w:r>
        <w:t xml:space="preserve"> </w:t>
      </w:r>
    </w:p>
    <w:p w:rsidR="005D1289" w:rsidRPr="006D2E09" w:rsidRDefault="005D1289" w:rsidP="00FC5095">
      <w:pPr>
        <w:pStyle w:val="ListParagraph"/>
        <w:numPr>
          <w:ilvl w:val="0"/>
          <w:numId w:val="9"/>
        </w:numPr>
        <w:autoSpaceDE w:val="0"/>
        <w:autoSpaceDN w:val="0"/>
        <w:adjustRightInd w:val="0"/>
        <w:spacing w:after="120" w:line="240" w:lineRule="auto"/>
        <w:contextualSpacing w:val="0"/>
        <w:jc w:val="both"/>
      </w:pPr>
      <w:bookmarkStart w:id="14" w:name="OLE_LINK61"/>
      <w:bookmarkStart w:id="15" w:name="OLE_LINK62"/>
      <w:r>
        <w:t>Population over 65 is forecast to increase from 16.8 percent in 2007 to 25.6 percent</w:t>
      </w:r>
      <w:r w:rsidRPr="00741DB4">
        <w:t xml:space="preserve"> </w:t>
      </w:r>
      <w:r>
        <w:t>by 2032</w:t>
      </w:r>
      <w:r w:rsidRPr="00741DB4">
        <w:t xml:space="preserve"> </w:t>
      </w:r>
      <w:r w:rsidRPr="006D2E09">
        <w:t>(</w:t>
      </w:r>
      <w:proofErr w:type="spellStart"/>
      <w:r w:rsidRPr="006D2E09">
        <w:t>DCAC</w:t>
      </w:r>
      <w:proofErr w:type="spellEnd"/>
      <w:r w:rsidRPr="006D2E09">
        <w:t xml:space="preserve"> 2008)</w:t>
      </w:r>
      <w:r>
        <w:t>.</w:t>
      </w:r>
    </w:p>
    <w:p w:rsidR="005D1289" w:rsidRDefault="005D1289" w:rsidP="005D1289">
      <w:pPr>
        <w:pStyle w:val="Heading2"/>
      </w:pPr>
      <w:bookmarkStart w:id="16" w:name="_Toc329331933"/>
      <w:bookmarkEnd w:id="14"/>
      <w:bookmarkEnd w:id="15"/>
      <w:r>
        <w:t>Household size</w:t>
      </w:r>
      <w:bookmarkEnd w:id="16"/>
    </w:p>
    <w:p w:rsidR="005D1289" w:rsidRDefault="005D1289" w:rsidP="005D1289">
      <w:pPr>
        <w:autoSpaceDE w:val="0"/>
        <w:autoSpaceDN w:val="0"/>
        <w:adjustRightInd w:val="0"/>
        <w:spacing w:after="120" w:line="240" w:lineRule="auto"/>
        <w:jc w:val="both"/>
      </w:pPr>
      <w:r w:rsidRPr="00357D62">
        <w:t>The average househo</w:t>
      </w:r>
      <w:r>
        <w:t xml:space="preserve">ld size in Glenorchy and Hobart is 2.3 people per dwelling (ABS 2006), which is consistent with the Southern Tasmania average of 2.4 people per dwelling. </w:t>
      </w:r>
    </w:p>
    <w:p w:rsidR="005D1289" w:rsidRDefault="005D1289" w:rsidP="005D1289">
      <w:pPr>
        <w:autoSpaceDE w:val="0"/>
        <w:autoSpaceDN w:val="0"/>
        <w:adjustRightInd w:val="0"/>
        <w:spacing w:after="120" w:line="240" w:lineRule="auto"/>
        <w:jc w:val="both"/>
      </w:pPr>
      <w:r>
        <w:lastRenderedPageBreak/>
        <w:t>Since 1947 the average household size in Tasmania has halved, h</w:t>
      </w:r>
      <w:r w:rsidRPr="00357D62">
        <w:t>ousehold size is projected to</w:t>
      </w:r>
      <w:r>
        <w:t xml:space="preserve"> </w:t>
      </w:r>
      <w:r w:rsidRPr="00357D62">
        <w:t xml:space="preserve">decrease </w:t>
      </w:r>
      <w:r>
        <w:t>further</w:t>
      </w:r>
      <w:r w:rsidRPr="00357D62">
        <w:t xml:space="preserve"> to </w:t>
      </w:r>
      <w:r>
        <w:t xml:space="preserve">between </w:t>
      </w:r>
      <w:r w:rsidRPr="00357D62">
        <w:t>2.0 to 2.1 persons per dwelling over the next 20 years</w:t>
      </w:r>
      <w:r>
        <w:t xml:space="preserve"> (</w:t>
      </w:r>
      <w:proofErr w:type="spellStart"/>
      <w:r>
        <w:t>STCA</w:t>
      </w:r>
      <w:proofErr w:type="spellEnd"/>
      <w:r>
        <w:t xml:space="preserve"> 2010)</w:t>
      </w:r>
      <w:r w:rsidRPr="00357D62">
        <w:t>.</w:t>
      </w:r>
    </w:p>
    <w:p w:rsidR="005D1289" w:rsidRDefault="005D1289" w:rsidP="005D1289">
      <w:pPr>
        <w:autoSpaceDE w:val="0"/>
        <w:autoSpaceDN w:val="0"/>
        <w:adjustRightInd w:val="0"/>
        <w:spacing w:after="120" w:line="240" w:lineRule="auto"/>
        <w:jc w:val="both"/>
      </w:pPr>
      <w:bookmarkStart w:id="17" w:name="OLE_LINK5"/>
      <w:bookmarkStart w:id="18" w:name="OLE_LINK6"/>
      <w:r>
        <w:t>Decreasing household size has implications for housing demand, as more dwellings are required even though the population may not be growing at the same rate. Smaller household size also creates a demand for different dwelling types, such as apartments and units.</w:t>
      </w:r>
    </w:p>
    <w:p w:rsidR="005D1289" w:rsidRDefault="005D1289" w:rsidP="005D1289">
      <w:pPr>
        <w:autoSpaceDE w:val="0"/>
        <w:autoSpaceDN w:val="0"/>
        <w:adjustRightInd w:val="0"/>
        <w:spacing w:after="120" w:line="240" w:lineRule="auto"/>
        <w:jc w:val="both"/>
      </w:pPr>
      <w:r w:rsidRPr="00DB0EC3">
        <w:t xml:space="preserve">The greatest concentration of households </w:t>
      </w:r>
      <w:r>
        <w:t>with one to two</w:t>
      </w:r>
      <w:r w:rsidRPr="00DB0EC3">
        <w:t xml:space="preserve"> residents</w:t>
      </w:r>
      <w:r>
        <w:t xml:space="preserve"> in Southern Tasmania</w:t>
      </w:r>
      <w:r w:rsidRPr="00DB0EC3">
        <w:t xml:space="preserve"> is found in Hobart and Glenorchy</w:t>
      </w:r>
      <w:r>
        <w:t>:</w:t>
      </w:r>
      <w:bookmarkEnd w:id="17"/>
      <w:bookmarkEnd w:id="18"/>
    </w:p>
    <w:p w:rsidR="005D1289" w:rsidRDefault="005D1289" w:rsidP="00FC5095">
      <w:pPr>
        <w:pStyle w:val="ListParagraph"/>
        <w:numPr>
          <w:ilvl w:val="0"/>
          <w:numId w:val="11"/>
        </w:numPr>
        <w:autoSpaceDE w:val="0"/>
        <w:autoSpaceDN w:val="0"/>
        <w:adjustRightInd w:val="0"/>
        <w:spacing w:after="120" w:line="240" w:lineRule="auto"/>
        <w:contextualSpacing w:val="0"/>
        <w:jc w:val="both"/>
      </w:pPr>
      <w:r>
        <w:t xml:space="preserve">Hobart: </w:t>
      </w:r>
      <w:r w:rsidRPr="00FD0DCC">
        <w:t>12 682 households</w:t>
      </w:r>
      <w:r>
        <w:t>.</w:t>
      </w:r>
    </w:p>
    <w:p w:rsidR="005D1289" w:rsidRPr="00377DC5" w:rsidRDefault="005D1289" w:rsidP="00FC5095">
      <w:pPr>
        <w:pStyle w:val="ListParagraph"/>
        <w:numPr>
          <w:ilvl w:val="0"/>
          <w:numId w:val="11"/>
        </w:numPr>
        <w:autoSpaceDE w:val="0"/>
        <w:autoSpaceDN w:val="0"/>
        <w:adjustRightInd w:val="0"/>
        <w:spacing w:after="120" w:line="240" w:lineRule="auto"/>
        <w:contextualSpacing w:val="0"/>
        <w:jc w:val="both"/>
      </w:pPr>
      <w:r w:rsidRPr="00FD0DCC">
        <w:t>Glenorchy</w:t>
      </w:r>
      <w:r>
        <w:t>:</w:t>
      </w:r>
      <w:r w:rsidRPr="00FD0DCC">
        <w:t xml:space="preserve"> 11 432 households</w:t>
      </w:r>
      <w:r>
        <w:t xml:space="preserve"> </w:t>
      </w:r>
      <w:r w:rsidRPr="00FD0DCC">
        <w:t xml:space="preserve">(ABS 2006). </w:t>
      </w:r>
    </w:p>
    <w:p w:rsidR="005D1289" w:rsidRPr="00FD0DCC" w:rsidRDefault="005D1289" w:rsidP="005D1289">
      <w:pPr>
        <w:pStyle w:val="Heading1"/>
      </w:pPr>
      <w:bookmarkStart w:id="19" w:name="_Toc329331934"/>
      <w:r>
        <w:t>Housing growth</w:t>
      </w:r>
      <w:bookmarkEnd w:id="19"/>
    </w:p>
    <w:p w:rsidR="005D1289" w:rsidRDefault="005D1289" w:rsidP="005D1289">
      <w:pPr>
        <w:pStyle w:val="Heading2"/>
      </w:pPr>
      <w:bookmarkStart w:id="20" w:name="_Toc329331935"/>
      <w:r>
        <w:t>Residential housing growth</w:t>
      </w:r>
      <w:bookmarkEnd w:id="20"/>
    </w:p>
    <w:p w:rsidR="005D1289" w:rsidRDefault="005D1289" w:rsidP="005D1289">
      <w:pPr>
        <w:autoSpaceDE w:val="0"/>
        <w:autoSpaceDN w:val="0"/>
        <w:adjustRightInd w:val="0"/>
        <w:spacing w:after="120" w:line="240" w:lineRule="auto"/>
        <w:jc w:val="both"/>
      </w:pPr>
      <w:r>
        <w:t>Analysis of</w:t>
      </w:r>
      <w:r w:rsidRPr="00997338">
        <w:t xml:space="preserve"> residential building approvals assists in identifying </w:t>
      </w:r>
      <w:proofErr w:type="spellStart"/>
      <w:r w:rsidRPr="00997338">
        <w:t>locational</w:t>
      </w:r>
      <w:proofErr w:type="spellEnd"/>
      <w:r w:rsidRPr="00997338">
        <w:t xml:space="preserve"> trends</w:t>
      </w:r>
      <w:r>
        <w:t xml:space="preserve"> for new development and</w:t>
      </w:r>
      <w:r w:rsidRPr="00997338">
        <w:t xml:space="preserve"> </w:t>
      </w:r>
      <w:r>
        <w:t xml:space="preserve">the </w:t>
      </w:r>
      <w:r w:rsidRPr="00997338">
        <w:t>potential demand for</w:t>
      </w:r>
      <w:r>
        <w:t xml:space="preserve"> residential land</w:t>
      </w:r>
      <w:r w:rsidRPr="00997338">
        <w:t>.</w:t>
      </w:r>
      <w:r>
        <w:t xml:space="preserve"> </w:t>
      </w:r>
    </w:p>
    <w:p w:rsidR="005D1289" w:rsidRPr="00443776" w:rsidRDefault="005D1289" w:rsidP="005D1289">
      <w:pPr>
        <w:autoSpaceDE w:val="0"/>
        <w:autoSpaceDN w:val="0"/>
        <w:adjustRightInd w:val="0"/>
        <w:spacing w:after="120" w:line="240" w:lineRule="auto"/>
        <w:jc w:val="both"/>
      </w:pPr>
      <w:r>
        <w:t xml:space="preserve">From 1999 to 2009, residential building approvals were slightly higher in Glenorchy at 1280 dwellings, with Hobart recording 1091 approvals (ABS 2010). It is interesting to note that despite Glenorchy having higher residential approvals than Hobart, its population growth has been much lower.  </w:t>
      </w:r>
    </w:p>
    <w:p w:rsidR="005D1289" w:rsidRPr="00997338" w:rsidRDefault="005D1289" w:rsidP="005D1289">
      <w:pPr>
        <w:autoSpaceDE w:val="0"/>
        <w:autoSpaceDN w:val="0"/>
        <w:adjustRightInd w:val="0"/>
        <w:spacing w:after="120" w:line="240" w:lineRule="auto"/>
        <w:jc w:val="both"/>
      </w:pPr>
      <w:r>
        <w:t>Suburbs experiencing the highest number of dwelling approvals were:</w:t>
      </w:r>
    </w:p>
    <w:p w:rsidR="005D1289" w:rsidRDefault="005D1289" w:rsidP="00FC5095">
      <w:pPr>
        <w:pStyle w:val="ListParagraph"/>
        <w:numPr>
          <w:ilvl w:val="0"/>
          <w:numId w:val="5"/>
        </w:numPr>
        <w:autoSpaceDE w:val="0"/>
        <w:autoSpaceDN w:val="0"/>
        <w:adjustRightInd w:val="0"/>
        <w:spacing w:after="120" w:line="240" w:lineRule="auto"/>
        <w:ind w:left="714" w:hanging="357"/>
        <w:contextualSpacing w:val="0"/>
        <w:jc w:val="both"/>
      </w:pPr>
      <w:r>
        <w:t>Claremont: 274.</w:t>
      </w:r>
    </w:p>
    <w:p w:rsidR="005D1289" w:rsidRDefault="005D1289" w:rsidP="00FC5095">
      <w:pPr>
        <w:pStyle w:val="ListParagraph"/>
        <w:numPr>
          <w:ilvl w:val="0"/>
          <w:numId w:val="5"/>
        </w:numPr>
        <w:autoSpaceDE w:val="0"/>
        <w:autoSpaceDN w:val="0"/>
        <w:adjustRightInd w:val="0"/>
        <w:spacing w:after="120" w:line="240" w:lineRule="auto"/>
        <w:ind w:left="714" w:hanging="357"/>
        <w:contextualSpacing w:val="0"/>
        <w:jc w:val="both"/>
      </w:pPr>
      <w:r>
        <w:t>Glenorchy: 234.</w:t>
      </w:r>
    </w:p>
    <w:p w:rsidR="005D1289" w:rsidRDefault="005D1289" w:rsidP="00FC5095">
      <w:pPr>
        <w:pStyle w:val="ListParagraph"/>
        <w:numPr>
          <w:ilvl w:val="0"/>
          <w:numId w:val="5"/>
        </w:numPr>
        <w:autoSpaceDE w:val="0"/>
        <w:autoSpaceDN w:val="0"/>
        <w:adjustRightInd w:val="0"/>
        <w:spacing w:after="120" w:line="240" w:lineRule="auto"/>
        <w:ind w:left="714" w:hanging="357"/>
        <w:contextualSpacing w:val="0"/>
        <w:jc w:val="both"/>
      </w:pPr>
      <w:proofErr w:type="spellStart"/>
      <w:r>
        <w:t>Austins</w:t>
      </w:r>
      <w:proofErr w:type="spellEnd"/>
      <w:r>
        <w:t xml:space="preserve"> Ferry: 226.</w:t>
      </w:r>
    </w:p>
    <w:p w:rsidR="005D1289" w:rsidRDefault="005D1289" w:rsidP="00FC5095">
      <w:pPr>
        <w:pStyle w:val="ListParagraph"/>
        <w:numPr>
          <w:ilvl w:val="0"/>
          <w:numId w:val="5"/>
        </w:numPr>
        <w:autoSpaceDE w:val="0"/>
        <w:autoSpaceDN w:val="0"/>
        <w:adjustRightInd w:val="0"/>
        <w:spacing w:after="120" w:line="240" w:lineRule="auto"/>
        <w:ind w:left="714" w:hanging="357"/>
        <w:contextualSpacing w:val="0"/>
        <w:jc w:val="both"/>
      </w:pPr>
      <w:r>
        <w:t>Sandy Bay: 177.</w:t>
      </w:r>
    </w:p>
    <w:p w:rsidR="005D1289" w:rsidRDefault="005D1289" w:rsidP="00FC5095">
      <w:pPr>
        <w:pStyle w:val="ListParagraph"/>
        <w:numPr>
          <w:ilvl w:val="0"/>
          <w:numId w:val="5"/>
        </w:numPr>
        <w:autoSpaceDE w:val="0"/>
        <w:autoSpaceDN w:val="0"/>
        <w:adjustRightInd w:val="0"/>
        <w:spacing w:after="120" w:line="240" w:lineRule="auto"/>
        <w:ind w:left="714" w:hanging="357"/>
        <w:contextualSpacing w:val="0"/>
        <w:jc w:val="both"/>
      </w:pPr>
      <w:r>
        <w:t>Dynnyrne: 175.</w:t>
      </w:r>
    </w:p>
    <w:p w:rsidR="005D1289" w:rsidRPr="00443776" w:rsidRDefault="005D1289" w:rsidP="00FC5095">
      <w:pPr>
        <w:pStyle w:val="ListParagraph"/>
        <w:numPr>
          <w:ilvl w:val="0"/>
          <w:numId w:val="5"/>
        </w:numPr>
        <w:autoSpaceDE w:val="0"/>
        <w:autoSpaceDN w:val="0"/>
        <w:adjustRightInd w:val="0"/>
        <w:spacing w:after="120" w:line="240" w:lineRule="auto"/>
        <w:ind w:left="714" w:hanging="357"/>
        <w:contextualSpacing w:val="0"/>
        <w:jc w:val="both"/>
      </w:pPr>
      <w:proofErr w:type="spellStart"/>
      <w:r>
        <w:t>Lenah</w:t>
      </w:r>
      <w:proofErr w:type="spellEnd"/>
      <w:r>
        <w:t xml:space="preserve"> Valley: 145.</w:t>
      </w:r>
    </w:p>
    <w:p w:rsidR="005D1289" w:rsidRDefault="005D1289" w:rsidP="005D1289">
      <w:pPr>
        <w:pStyle w:val="Heading2"/>
      </w:pPr>
      <w:bookmarkStart w:id="21" w:name="_Toc329331936"/>
      <w:r>
        <w:t>Comparing population and residential housing growth</w:t>
      </w:r>
      <w:bookmarkEnd w:id="21"/>
    </w:p>
    <w:p w:rsidR="005D1289" w:rsidRDefault="005D1289" w:rsidP="005D1289">
      <w:pPr>
        <w:autoSpaceDE w:val="0"/>
        <w:autoSpaceDN w:val="0"/>
        <w:adjustRightInd w:val="0"/>
        <w:spacing w:after="120" w:line="240" w:lineRule="auto"/>
        <w:jc w:val="both"/>
      </w:pPr>
      <w:r w:rsidRPr="001E5760">
        <w:t xml:space="preserve">Comparing population and </w:t>
      </w:r>
      <w:r>
        <w:t>residential building</w:t>
      </w:r>
      <w:r w:rsidRPr="001E5760">
        <w:t xml:space="preserve"> approvals can provide an indication of the drivers of residential development, particularly when it is considered against the current average </w:t>
      </w:r>
      <w:r>
        <w:t xml:space="preserve">household size. </w:t>
      </w:r>
    </w:p>
    <w:p w:rsidR="005D1289" w:rsidRPr="00377DC5" w:rsidRDefault="005D1289" w:rsidP="005D1289">
      <w:pPr>
        <w:autoSpaceDE w:val="0"/>
        <w:autoSpaceDN w:val="0"/>
        <w:adjustRightInd w:val="0"/>
        <w:spacing w:after="120" w:line="240" w:lineRule="auto"/>
        <w:jc w:val="both"/>
      </w:pPr>
      <w:r>
        <w:t>The average number</w:t>
      </w:r>
      <w:r w:rsidRPr="001E5760">
        <w:t xml:space="preserve"> of new dwellings per person</w:t>
      </w:r>
      <w:r>
        <w:t xml:space="preserve"> for Hobart Council is close to the average household size at 2.0 people, while Glenorchy is only 0.4 (</w:t>
      </w:r>
      <w:proofErr w:type="spellStart"/>
      <w:r>
        <w:t>STCA</w:t>
      </w:r>
      <w:proofErr w:type="spellEnd"/>
      <w:r>
        <w:t xml:space="preserve"> 2010</w:t>
      </w:r>
      <w:r w:rsidRPr="00384CA1">
        <w:t>)</w:t>
      </w:r>
      <w:r>
        <w:t xml:space="preserve">. As Glenorchy is an inner urban area, it is unlikely to be a location for second homes such as holiday houses, therefore </w:t>
      </w:r>
      <w:bookmarkStart w:id="22" w:name="OLE_LINK7"/>
      <w:bookmarkStart w:id="23" w:name="OLE_LINK8"/>
      <w:r>
        <w:t>demographic change eg. (</w:t>
      </w:r>
      <w:proofErr w:type="gramStart"/>
      <w:r>
        <w:t>ageing</w:t>
      </w:r>
      <w:proofErr w:type="gramEnd"/>
      <w:r>
        <w:t xml:space="preserve"> population, high levels of out-migration) are more likely to be causes of population change in Glenorchy.</w:t>
      </w:r>
      <w:bookmarkEnd w:id="22"/>
      <w:bookmarkEnd w:id="23"/>
    </w:p>
    <w:p w:rsidR="005D1289" w:rsidRDefault="005D1289" w:rsidP="005D1289">
      <w:pPr>
        <w:pStyle w:val="Heading2"/>
      </w:pPr>
      <w:bookmarkStart w:id="24" w:name="_Toc329331937"/>
      <w:r>
        <w:t>Infill and Greenfield development growth</w:t>
      </w:r>
      <w:bookmarkEnd w:id="24"/>
    </w:p>
    <w:p w:rsidR="005D1289" w:rsidRPr="001E64B3" w:rsidRDefault="005D1289" w:rsidP="005D1289">
      <w:pPr>
        <w:spacing w:after="120" w:line="240" w:lineRule="auto"/>
        <w:jc w:val="both"/>
      </w:pPr>
      <w:r w:rsidRPr="001E64B3">
        <w:t xml:space="preserve">The </w:t>
      </w:r>
      <w:r w:rsidRPr="001E64B3">
        <w:rPr>
          <w:i/>
          <w:iCs/>
        </w:rPr>
        <w:t>Southern Regional Land Use Strategy</w:t>
      </w:r>
      <w:r w:rsidRPr="001E64B3">
        <w:t xml:space="preserve"> identifies infill targets over the next 25 years </w:t>
      </w:r>
      <w:r>
        <w:t>for Hobart and Glenorchy</w:t>
      </w:r>
      <w:r w:rsidRPr="001E64B3">
        <w:t>:</w:t>
      </w:r>
    </w:p>
    <w:p w:rsidR="005D1289" w:rsidRPr="000F1246" w:rsidRDefault="005D1289" w:rsidP="00FC5095">
      <w:pPr>
        <w:pStyle w:val="Default"/>
        <w:numPr>
          <w:ilvl w:val="0"/>
          <w:numId w:val="6"/>
        </w:numPr>
        <w:spacing w:after="120"/>
        <w:ind w:left="714" w:hanging="357"/>
        <w:jc w:val="both"/>
        <w:rPr>
          <w:rFonts w:ascii="Arial" w:hAnsi="Arial" w:cs="Arial"/>
          <w:sz w:val="22"/>
          <w:szCs w:val="22"/>
        </w:rPr>
      </w:pPr>
      <w:r w:rsidRPr="000F1246">
        <w:rPr>
          <w:rFonts w:ascii="Arial" w:hAnsi="Arial" w:cs="Arial"/>
          <w:sz w:val="22"/>
          <w:szCs w:val="22"/>
        </w:rPr>
        <w:t>Glenorchy: 40 percent infill (5300 dwellings).</w:t>
      </w:r>
    </w:p>
    <w:p w:rsidR="005D1289" w:rsidRPr="000F1246" w:rsidRDefault="005D1289" w:rsidP="00FC5095">
      <w:pPr>
        <w:pStyle w:val="Default"/>
        <w:numPr>
          <w:ilvl w:val="0"/>
          <w:numId w:val="6"/>
        </w:numPr>
        <w:spacing w:after="120"/>
        <w:ind w:left="714" w:hanging="357"/>
        <w:jc w:val="both"/>
        <w:rPr>
          <w:rFonts w:ascii="Arial" w:hAnsi="Arial" w:cs="Arial"/>
          <w:sz w:val="22"/>
          <w:szCs w:val="22"/>
        </w:rPr>
      </w:pPr>
      <w:r w:rsidRPr="000F1246">
        <w:rPr>
          <w:rFonts w:ascii="Arial" w:hAnsi="Arial" w:cs="Arial"/>
          <w:sz w:val="22"/>
          <w:szCs w:val="22"/>
        </w:rPr>
        <w:lastRenderedPageBreak/>
        <w:t>Hobart: 25 percent infill (3312 dwellings).</w:t>
      </w:r>
    </w:p>
    <w:p w:rsidR="005D1289" w:rsidRPr="000F1246" w:rsidRDefault="005D1289" w:rsidP="005D1289">
      <w:pPr>
        <w:pStyle w:val="Default"/>
        <w:spacing w:after="120"/>
        <w:jc w:val="both"/>
        <w:rPr>
          <w:rFonts w:ascii="Arial" w:hAnsi="Arial" w:cs="Arial"/>
          <w:sz w:val="22"/>
          <w:szCs w:val="22"/>
        </w:rPr>
      </w:pPr>
      <w:r w:rsidRPr="000F1246">
        <w:rPr>
          <w:rFonts w:ascii="Arial" w:hAnsi="Arial" w:cs="Arial"/>
          <w:sz w:val="22"/>
          <w:szCs w:val="22"/>
        </w:rPr>
        <w:t>These areas have a target density of at least 25 dwellings per hectare (net density).</w:t>
      </w:r>
    </w:p>
    <w:p w:rsidR="005D1289" w:rsidRPr="000F1246" w:rsidRDefault="005D1289" w:rsidP="005D1289">
      <w:pPr>
        <w:pStyle w:val="Default"/>
        <w:spacing w:after="120"/>
        <w:jc w:val="both"/>
        <w:rPr>
          <w:rFonts w:ascii="Arial" w:hAnsi="Arial" w:cs="Arial"/>
          <w:sz w:val="22"/>
          <w:szCs w:val="22"/>
        </w:rPr>
      </w:pPr>
      <w:r w:rsidRPr="000F1246">
        <w:rPr>
          <w:rFonts w:ascii="Arial" w:hAnsi="Arial" w:cs="Arial"/>
          <w:sz w:val="22"/>
          <w:szCs w:val="22"/>
        </w:rPr>
        <w:t xml:space="preserve">Based on the current household size in both Glenorchy and Hobart, it can be assumed that if these infill targets are met, that the population in Glenorchy could theoretically increase by an additional 12000 people and in Hobart by 7600. </w:t>
      </w:r>
    </w:p>
    <w:p w:rsidR="005D1289" w:rsidRPr="000F1246" w:rsidRDefault="005D1289" w:rsidP="005D1289">
      <w:pPr>
        <w:pStyle w:val="Default"/>
        <w:spacing w:after="120"/>
        <w:jc w:val="both"/>
        <w:rPr>
          <w:rFonts w:ascii="Arial" w:hAnsi="Arial" w:cs="Arial"/>
          <w:sz w:val="22"/>
          <w:szCs w:val="22"/>
        </w:rPr>
      </w:pPr>
      <w:r w:rsidRPr="000F1246">
        <w:rPr>
          <w:rFonts w:ascii="Arial" w:hAnsi="Arial" w:cs="Arial"/>
          <w:sz w:val="22"/>
          <w:szCs w:val="22"/>
        </w:rPr>
        <w:t xml:space="preserve">The population in Glenorchy could further increase if Greenfield areas within the urban growth boundary were developed at Granton and </w:t>
      </w:r>
      <w:proofErr w:type="spellStart"/>
      <w:r w:rsidRPr="000F1246">
        <w:rPr>
          <w:rFonts w:ascii="Arial" w:hAnsi="Arial" w:cs="Arial"/>
          <w:sz w:val="22"/>
          <w:szCs w:val="22"/>
        </w:rPr>
        <w:t>Austins</w:t>
      </w:r>
      <w:proofErr w:type="spellEnd"/>
      <w:r w:rsidRPr="000F1246">
        <w:rPr>
          <w:rFonts w:ascii="Arial" w:hAnsi="Arial" w:cs="Arial"/>
          <w:sz w:val="22"/>
          <w:szCs w:val="22"/>
        </w:rPr>
        <w:t xml:space="preserve"> Ferry. The </w:t>
      </w:r>
      <w:proofErr w:type="spellStart"/>
      <w:r w:rsidRPr="000F1246">
        <w:rPr>
          <w:rFonts w:ascii="Arial" w:hAnsi="Arial" w:cs="Arial"/>
          <w:sz w:val="22"/>
          <w:szCs w:val="22"/>
        </w:rPr>
        <w:t>STCA</w:t>
      </w:r>
      <w:proofErr w:type="spellEnd"/>
      <w:r w:rsidRPr="000F1246">
        <w:rPr>
          <w:rFonts w:ascii="Arial" w:hAnsi="Arial" w:cs="Arial"/>
          <w:sz w:val="22"/>
          <w:szCs w:val="22"/>
        </w:rPr>
        <w:t xml:space="preserve"> have calculated that the dwelling yield on these Greenfield sites (based on 15 dwellings per hectare) is 2155 dwellings. This would translate to just under 5000 additional people in Glenorchy Greenfield areas.</w:t>
      </w:r>
    </w:p>
    <w:p w:rsidR="005D1289" w:rsidRPr="000F1246" w:rsidRDefault="005D1289" w:rsidP="005D1289">
      <w:pPr>
        <w:pStyle w:val="Default"/>
        <w:spacing w:after="120"/>
        <w:jc w:val="both"/>
        <w:rPr>
          <w:rFonts w:ascii="Arial" w:hAnsi="Arial" w:cs="Arial"/>
          <w:sz w:val="22"/>
          <w:szCs w:val="22"/>
        </w:rPr>
      </w:pPr>
      <w:r w:rsidRPr="000F1246">
        <w:rPr>
          <w:rFonts w:ascii="Arial" w:hAnsi="Arial" w:cs="Arial"/>
          <w:sz w:val="22"/>
          <w:szCs w:val="22"/>
        </w:rPr>
        <w:t>The actual level of population growth will be dependent on a number of different variables, including availability and uptake of land for infill and Greenfield development and demographic change. As stated above, Glenorchy is experiencing demographic change which has caused low levels of population growth over the last decade.</w:t>
      </w:r>
    </w:p>
    <w:p w:rsidR="005D1289" w:rsidRPr="000F1246" w:rsidRDefault="005D1289" w:rsidP="005D1289">
      <w:pPr>
        <w:pStyle w:val="Default"/>
        <w:spacing w:after="120"/>
        <w:jc w:val="both"/>
        <w:rPr>
          <w:rFonts w:ascii="Arial" w:hAnsi="Arial" w:cs="Arial"/>
          <w:sz w:val="22"/>
          <w:szCs w:val="22"/>
        </w:rPr>
      </w:pPr>
      <w:r w:rsidRPr="000F1246">
        <w:rPr>
          <w:rFonts w:ascii="Arial" w:hAnsi="Arial" w:cs="Arial"/>
          <w:sz w:val="22"/>
          <w:szCs w:val="22"/>
        </w:rPr>
        <w:t xml:space="preserve">If infill and Greenfield targets were achieved, together with the ‘medium’ and ‘high’ population forecasts this would result in a total population growth of 17 000 to 21 000 people over the next 25 to 30 years. </w:t>
      </w:r>
    </w:p>
    <w:p w:rsidR="005D1289" w:rsidRPr="000F1246" w:rsidRDefault="005D1289" w:rsidP="005D1289">
      <w:pPr>
        <w:pStyle w:val="Default"/>
        <w:spacing w:after="120"/>
        <w:jc w:val="both"/>
        <w:rPr>
          <w:rFonts w:ascii="Arial" w:hAnsi="Arial" w:cs="Arial"/>
          <w:sz w:val="22"/>
          <w:szCs w:val="22"/>
        </w:rPr>
      </w:pPr>
      <w:r w:rsidRPr="000F1246">
        <w:rPr>
          <w:rFonts w:ascii="Arial" w:hAnsi="Arial" w:cs="Arial"/>
          <w:sz w:val="22"/>
          <w:szCs w:val="22"/>
        </w:rPr>
        <w:t>Whether this level of growth is achievable is highly debatable, as the increase is around half of Glenorchy’s current population and about half of the forecast population increase for Greater Hobart under the ‘medium’ scenario. Deliberate planning and policy changes would be required to shift population growth from outer Councils towards Glenorchy, if this level of growth was to occur.</w:t>
      </w:r>
    </w:p>
    <w:p w:rsidR="005D1289" w:rsidRPr="000F1246" w:rsidRDefault="005D1289" w:rsidP="005D1289">
      <w:pPr>
        <w:pStyle w:val="Default"/>
        <w:spacing w:after="120"/>
        <w:jc w:val="both"/>
        <w:rPr>
          <w:rFonts w:ascii="Arial" w:hAnsi="Arial" w:cs="Arial"/>
          <w:i/>
          <w:iCs/>
          <w:sz w:val="22"/>
          <w:szCs w:val="22"/>
        </w:rPr>
      </w:pPr>
      <w:r w:rsidRPr="000F1246">
        <w:rPr>
          <w:rFonts w:ascii="Arial" w:hAnsi="Arial" w:cs="Arial"/>
          <w:sz w:val="22"/>
          <w:szCs w:val="22"/>
        </w:rPr>
        <w:t xml:space="preserve">It is harder to predict what the additional population growth in Hobart would be if infill development targets were met. Population growth in Hobart is forecast to be high (between 8800 to 16800 people under the medium and high scenarios). It would be expected that most of this growth would be infill as no Greenfield areas were identified in Hobart as part of the </w:t>
      </w:r>
      <w:r w:rsidRPr="000F1246">
        <w:rPr>
          <w:rFonts w:ascii="Arial" w:hAnsi="Arial" w:cs="Arial"/>
          <w:i/>
          <w:iCs/>
          <w:sz w:val="22"/>
          <w:szCs w:val="22"/>
        </w:rPr>
        <w:t xml:space="preserve">Southern Regional Land Use Strategy. </w:t>
      </w:r>
    </w:p>
    <w:p w:rsidR="005D1289" w:rsidRDefault="005D1289" w:rsidP="005D1289">
      <w:pPr>
        <w:pStyle w:val="Heading1"/>
      </w:pPr>
      <w:bookmarkStart w:id="25" w:name="_Toc329331938"/>
      <w:r>
        <w:t>Transport disadvantage</w:t>
      </w:r>
      <w:bookmarkEnd w:id="25"/>
    </w:p>
    <w:p w:rsidR="005D1289" w:rsidRPr="00E85B5D" w:rsidRDefault="005D1289" w:rsidP="005D1289">
      <w:pPr>
        <w:pStyle w:val="Heading2"/>
      </w:pPr>
      <w:bookmarkStart w:id="26" w:name="_Toc329331939"/>
      <w:r w:rsidRPr="00E85B5D">
        <w:t>Social Economic Indexes for Areas (</w:t>
      </w:r>
      <w:proofErr w:type="spellStart"/>
      <w:r w:rsidRPr="00E85B5D">
        <w:t>SEIFA</w:t>
      </w:r>
      <w:proofErr w:type="spellEnd"/>
      <w:r w:rsidRPr="00E85B5D">
        <w:t>)</w:t>
      </w:r>
      <w:bookmarkEnd w:id="26"/>
    </w:p>
    <w:p w:rsidR="005D1289" w:rsidRPr="00554BB6" w:rsidRDefault="005D1289" w:rsidP="005D1289">
      <w:pPr>
        <w:autoSpaceDE w:val="0"/>
        <w:autoSpaceDN w:val="0"/>
        <w:adjustRightInd w:val="0"/>
        <w:spacing w:after="120" w:line="240" w:lineRule="auto"/>
        <w:jc w:val="both"/>
        <w:rPr>
          <w:sz w:val="23"/>
          <w:szCs w:val="23"/>
        </w:rPr>
      </w:pPr>
      <w:r>
        <w:rPr>
          <w:sz w:val="23"/>
          <w:szCs w:val="23"/>
        </w:rPr>
        <w:t>Socio Economic Indices for Areas (</w:t>
      </w:r>
      <w:proofErr w:type="spellStart"/>
      <w:r>
        <w:rPr>
          <w:sz w:val="23"/>
          <w:szCs w:val="23"/>
        </w:rPr>
        <w:t>SEIFA</w:t>
      </w:r>
      <w:proofErr w:type="spellEnd"/>
      <w:r>
        <w:rPr>
          <w:sz w:val="23"/>
          <w:szCs w:val="23"/>
        </w:rPr>
        <w:t xml:space="preserve">) is the main indicator of comparative disadvantage used in Australia. </w:t>
      </w:r>
      <w:proofErr w:type="spellStart"/>
      <w:r>
        <w:t>SEIFA</w:t>
      </w:r>
      <w:proofErr w:type="spellEnd"/>
      <w:r>
        <w:t xml:space="preserve"> is a collection of four indexes which compare the relative social and economic conditions of population cross different locations. </w:t>
      </w:r>
    </w:p>
    <w:p w:rsidR="005D1289" w:rsidRDefault="005D1289" w:rsidP="005D1289">
      <w:pPr>
        <w:autoSpaceDE w:val="0"/>
        <w:autoSpaceDN w:val="0"/>
        <w:adjustRightInd w:val="0"/>
        <w:spacing w:after="120" w:line="240" w:lineRule="auto"/>
        <w:jc w:val="both"/>
        <w:rPr>
          <w:sz w:val="23"/>
          <w:szCs w:val="23"/>
        </w:rPr>
      </w:pPr>
      <w:r>
        <w:rPr>
          <w:sz w:val="23"/>
          <w:szCs w:val="23"/>
        </w:rPr>
        <w:t>Hobart is the least disadvantaged Council in Tasmania, while Glenorchy is the twelfth disadvantaged.</w:t>
      </w:r>
    </w:p>
    <w:p w:rsidR="005D1289" w:rsidRDefault="005D1289" w:rsidP="005D1289">
      <w:pPr>
        <w:autoSpaceDE w:val="0"/>
        <w:autoSpaceDN w:val="0"/>
        <w:adjustRightInd w:val="0"/>
        <w:spacing w:after="120" w:line="240" w:lineRule="auto"/>
        <w:jc w:val="both"/>
      </w:pPr>
      <w:r>
        <w:rPr>
          <w:sz w:val="23"/>
          <w:szCs w:val="23"/>
        </w:rPr>
        <w:t>However within Councils there are pockets of disadvantage. The map below shows the</w:t>
      </w:r>
      <w:r>
        <w:t xml:space="preserve"> most commonly used sub-index of </w:t>
      </w:r>
      <w:proofErr w:type="spellStart"/>
      <w:r>
        <w:t>SEIFA</w:t>
      </w:r>
      <w:proofErr w:type="spellEnd"/>
      <w:r>
        <w:t xml:space="preserve"> which is the Index of Relative Socio-Economic Disadvantage. This index is used to identify areas with high proportions of households with characteristics associated with disadvantage such as low income, low levels of qualifications, unemployment and private dwellings without a car.</w:t>
      </w:r>
    </w:p>
    <w:p w:rsidR="005D1289" w:rsidRDefault="005D1289" w:rsidP="005D1289">
      <w:pPr>
        <w:autoSpaceDE w:val="0"/>
        <w:autoSpaceDN w:val="0"/>
        <w:adjustRightInd w:val="0"/>
        <w:spacing w:after="120" w:line="240" w:lineRule="auto"/>
        <w:jc w:val="both"/>
      </w:pPr>
      <w:r>
        <w:t>Areas adjacent to the Transit Corridor contain areas of high disadvantage around Glenorchy and Moonah and small pockets within North Hobart.</w:t>
      </w:r>
    </w:p>
    <w:p w:rsidR="005D1289" w:rsidRDefault="005D1289" w:rsidP="005D1289">
      <w:pPr>
        <w:autoSpaceDE w:val="0"/>
        <w:autoSpaceDN w:val="0"/>
        <w:adjustRightInd w:val="0"/>
        <w:spacing w:after="0" w:line="240" w:lineRule="auto"/>
        <w:jc w:val="both"/>
        <w:rPr>
          <w:i/>
          <w:iCs/>
          <w:lang w:val="en-GB"/>
        </w:rPr>
      </w:pPr>
    </w:p>
    <w:p w:rsidR="005D1289" w:rsidRDefault="005D1289" w:rsidP="005D1289">
      <w:pPr>
        <w:pStyle w:val="Caption"/>
      </w:pPr>
    </w:p>
    <w:p w:rsidR="005D1289" w:rsidRDefault="005D1289" w:rsidP="005D1289">
      <w:pPr>
        <w:rPr>
          <w:b/>
          <w:bCs/>
          <w:color w:val="4F81BD"/>
          <w:sz w:val="18"/>
          <w:szCs w:val="18"/>
        </w:rPr>
        <w:sectPr w:rsidR="005D1289" w:rsidSect="0081590E">
          <w:pgSz w:w="11906" w:h="16838"/>
          <w:pgMar w:top="1440" w:right="1440" w:bottom="1440" w:left="1440" w:header="708" w:footer="708" w:gutter="0"/>
          <w:cols w:space="708"/>
          <w:docGrid w:linePitch="360"/>
        </w:sectPr>
      </w:pPr>
    </w:p>
    <w:p w:rsidR="005D1289" w:rsidRDefault="005D1289" w:rsidP="005D1289">
      <w:pPr>
        <w:rPr>
          <w:b/>
          <w:bCs/>
          <w:color w:val="4F81BD"/>
          <w:sz w:val="18"/>
          <w:szCs w:val="18"/>
        </w:rPr>
      </w:pPr>
    </w:p>
    <w:p w:rsidR="005D1289" w:rsidRDefault="005D1289" w:rsidP="005D1289">
      <w:pPr>
        <w:pStyle w:val="Caption"/>
      </w:pPr>
      <w:r>
        <w:t xml:space="preserve">Figure </w:t>
      </w:r>
      <w:fldSimple w:instr=" SEQ Figure \* ARABIC ">
        <w:r w:rsidR="00361A55">
          <w:rPr>
            <w:noProof/>
          </w:rPr>
          <w:t>3</w:t>
        </w:r>
      </w:fldSimple>
      <w:r>
        <w:t xml:space="preserve"> </w:t>
      </w:r>
      <w:proofErr w:type="spellStart"/>
      <w:r>
        <w:t>SEIFA</w:t>
      </w:r>
      <w:proofErr w:type="spellEnd"/>
      <w:r>
        <w:t xml:space="preserve"> – Index of Relative Socio-Economic Disadvantage</w:t>
      </w:r>
    </w:p>
    <w:p w:rsidR="005D1289" w:rsidRPr="00C30157" w:rsidRDefault="00637FD9" w:rsidP="005D1289">
      <w:r w:rsidRPr="00637FD9">
        <w:rPr>
          <w:noProof/>
          <w:lang w:val="en-US"/>
        </w:rPr>
        <w:pict>
          <v:shape id="_x0000_s1039" type="#_x0000_t202" style="position:absolute;margin-left:14.3pt;margin-top:589.4pt;width:302.95pt;height:24.75pt;z-index:251689984" stroked="f">
            <v:textbox style="mso-next-textbox:#_x0000_s1039">
              <w:txbxContent>
                <w:p w:rsidR="00935B0B" w:rsidRDefault="00935B0B" w:rsidP="005D1289">
                  <w:pPr>
                    <w:autoSpaceDE w:val="0"/>
                    <w:autoSpaceDN w:val="0"/>
                    <w:adjustRightInd w:val="0"/>
                    <w:spacing w:after="0" w:line="240" w:lineRule="auto"/>
                    <w:jc w:val="both"/>
                    <w:rPr>
                      <w:sz w:val="18"/>
                      <w:szCs w:val="18"/>
                    </w:rPr>
                  </w:pPr>
                  <w:r w:rsidRPr="008847AF">
                    <w:rPr>
                      <w:sz w:val="18"/>
                      <w:szCs w:val="18"/>
                    </w:rPr>
                    <w:t xml:space="preserve">Source: </w:t>
                  </w:r>
                  <w:r>
                    <w:rPr>
                      <w:sz w:val="18"/>
                      <w:szCs w:val="18"/>
                    </w:rPr>
                    <w:t>ABS, 2006</w:t>
                  </w:r>
                </w:p>
                <w:p w:rsidR="00935B0B" w:rsidRDefault="00935B0B" w:rsidP="005D1289"/>
              </w:txbxContent>
            </v:textbox>
          </v:shape>
        </w:pict>
      </w:r>
      <w:r w:rsidR="005D1289">
        <w:rPr>
          <w:noProof/>
          <w:lang w:eastAsia="en-AU"/>
        </w:rPr>
        <w:drawing>
          <wp:inline distT="0" distB="0" distL="0" distR="0">
            <wp:extent cx="5734050" cy="8096250"/>
            <wp:effectExtent l="19050" t="0" r="0" b="0"/>
            <wp:docPr id="5" name="Picture 6" descr="Transit Corridors_SEIF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sit Corridors_SEIFA_v2.jpg"/>
                    <pic:cNvPicPr>
                      <a:picLocks noChangeAspect="1" noChangeArrowheads="1"/>
                    </pic:cNvPicPr>
                  </pic:nvPicPr>
                  <pic:blipFill>
                    <a:blip r:embed="rId9" cstate="print"/>
                    <a:srcRect/>
                    <a:stretch>
                      <a:fillRect/>
                    </a:stretch>
                  </pic:blipFill>
                  <pic:spPr bwMode="auto">
                    <a:xfrm>
                      <a:off x="0" y="0"/>
                      <a:ext cx="5734050" cy="8096250"/>
                    </a:xfrm>
                    <a:prstGeom prst="rect">
                      <a:avLst/>
                    </a:prstGeom>
                    <a:noFill/>
                    <a:ln w="9525">
                      <a:noFill/>
                      <a:miter lim="800000"/>
                      <a:headEnd/>
                      <a:tailEnd/>
                    </a:ln>
                  </pic:spPr>
                </pic:pic>
              </a:graphicData>
            </a:graphic>
          </wp:inline>
        </w:drawing>
      </w:r>
    </w:p>
    <w:p w:rsidR="005D1289" w:rsidRDefault="005D1289" w:rsidP="005D1289">
      <w:pPr>
        <w:pStyle w:val="Heading2"/>
        <w:rPr>
          <w:lang w:val="en-GB"/>
        </w:rPr>
      </w:pPr>
      <w:bookmarkStart w:id="27" w:name="_Toc329331940"/>
      <w:r>
        <w:rPr>
          <w:lang w:val="en-GB"/>
        </w:rPr>
        <w:lastRenderedPageBreak/>
        <w:t>Transport disadvantage</w:t>
      </w:r>
      <w:bookmarkEnd w:id="27"/>
    </w:p>
    <w:p w:rsidR="005D1289" w:rsidRDefault="005D1289" w:rsidP="005D1289">
      <w:pPr>
        <w:autoSpaceDE w:val="0"/>
        <w:autoSpaceDN w:val="0"/>
        <w:adjustRightInd w:val="0"/>
        <w:spacing w:after="120" w:line="240" w:lineRule="auto"/>
        <w:jc w:val="both"/>
      </w:pPr>
      <w:proofErr w:type="spellStart"/>
      <w:r w:rsidRPr="002F283F">
        <w:rPr>
          <w:sz w:val="23"/>
          <w:szCs w:val="23"/>
        </w:rPr>
        <w:t>SEIFA</w:t>
      </w:r>
      <w:proofErr w:type="spellEnd"/>
      <w:r w:rsidRPr="002F283F">
        <w:rPr>
          <w:sz w:val="23"/>
          <w:szCs w:val="23"/>
        </w:rPr>
        <w:t xml:space="preserve"> </w:t>
      </w:r>
      <w:r>
        <w:rPr>
          <w:sz w:val="23"/>
          <w:szCs w:val="23"/>
        </w:rPr>
        <w:t>does not measure transport disadvantage specifically</w:t>
      </w:r>
      <w:r w:rsidRPr="002F283F">
        <w:rPr>
          <w:sz w:val="23"/>
          <w:szCs w:val="23"/>
        </w:rPr>
        <w:t xml:space="preserve">. </w:t>
      </w:r>
      <w:r w:rsidRPr="002F283F">
        <w:t xml:space="preserve">Transport disadvantage occurs when accessibility and mobility are constrained. Research has identified that age, income and health </w:t>
      </w:r>
      <w:r>
        <w:t>reduce the</w:t>
      </w:r>
      <w:r w:rsidRPr="002F283F">
        <w:t xml:space="preserve"> ability </w:t>
      </w:r>
      <w:r>
        <w:t xml:space="preserve">of people </w:t>
      </w:r>
      <w:r w:rsidRPr="002F283F">
        <w:t xml:space="preserve">to use, afford and access transport services. </w:t>
      </w:r>
      <w:r w:rsidRPr="002F283F">
        <w:rPr>
          <w:sz w:val="23"/>
          <w:szCs w:val="23"/>
        </w:rPr>
        <w:t xml:space="preserve">A measure of </w:t>
      </w:r>
      <w:r>
        <w:rPr>
          <w:sz w:val="23"/>
          <w:szCs w:val="23"/>
        </w:rPr>
        <w:t xml:space="preserve">comparative </w:t>
      </w:r>
      <w:r w:rsidRPr="002F283F">
        <w:rPr>
          <w:sz w:val="23"/>
          <w:szCs w:val="23"/>
        </w:rPr>
        <w:t xml:space="preserve">transport disadvantage </w:t>
      </w:r>
      <w:r>
        <w:rPr>
          <w:sz w:val="23"/>
          <w:szCs w:val="23"/>
        </w:rPr>
        <w:t xml:space="preserve">across Greater Hobart </w:t>
      </w:r>
      <w:r w:rsidRPr="002F283F">
        <w:rPr>
          <w:sz w:val="23"/>
          <w:szCs w:val="23"/>
        </w:rPr>
        <w:t xml:space="preserve">has been prepared for DIER by </w:t>
      </w:r>
      <w:proofErr w:type="spellStart"/>
      <w:r w:rsidRPr="002F283F">
        <w:rPr>
          <w:sz w:val="23"/>
          <w:szCs w:val="23"/>
        </w:rPr>
        <w:t>Booz</w:t>
      </w:r>
      <w:proofErr w:type="spellEnd"/>
      <w:r w:rsidRPr="002F283F">
        <w:rPr>
          <w:sz w:val="23"/>
          <w:szCs w:val="23"/>
        </w:rPr>
        <w:t xml:space="preserve"> and Company (2008)</w:t>
      </w:r>
      <w:r>
        <w:rPr>
          <w:sz w:val="23"/>
          <w:szCs w:val="23"/>
        </w:rPr>
        <w:t>,</w:t>
      </w:r>
      <w:r w:rsidRPr="002F283F">
        <w:rPr>
          <w:sz w:val="23"/>
          <w:szCs w:val="23"/>
        </w:rPr>
        <w:t xml:space="preserve"> </w:t>
      </w:r>
      <w:r>
        <w:rPr>
          <w:sz w:val="23"/>
          <w:szCs w:val="23"/>
        </w:rPr>
        <w:t>based on the following characteristics:</w:t>
      </w:r>
    </w:p>
    <w:p w:rsidR="005D1289" w:rsidRPr="000A4A51" w:rsidRDefault="005D1289" w:rsidP="00FC5095">
      <w:pPr>
        <w:pStyle w:val="ListParagraph"/>
        <w:numPr>
          <w:ilvl w:val="0"/>
          <w:numId w:val="7"/>
        </w:numPr>
        <w:autoSpaceDE w:val="0"/>
        <w:autoSpaceDN w:val="0"/>
        <w:adjustRightInd w:val="0"/>
        <w:spacing w:after="120" w:line="240" w:lineRule="auto"/>
        <w:contextualSpacing w:val="0"/>
        <w:jc w:val="both"/>
      </w:pPr>
      <w:bookmarkStart w:id="28" w:name="OLE_LINK12"/>
      <w:bookmarkStart w:id="29" w:name="OLE_LINK13"/>
      <w:r>
        <w:t>A</w:t>
      </w:r>
      <w:r w:rsidRPr="000A4A51">
        <w:t>dults who do not have access to a car</w:t>
      </w:r>
      <w:r>
        <w:t>.</w:t>
      </w:r>
    </w:p>
    <w:p w:rsidR="005D1289" w:rsidRPr="000A4A51" w:rsidRDefault="005D1289" w:rsidP="00FC5095">
      <w:pPr>
        <w:pStyle w:val="ListParagraph"/>
        <w:numPr>
          <w:ilvl w:val="0"/>
          <w:numId w:val="7"/>
        </w:numPr>
        <w:autoSpaceDE w:val="0"/>
        <w:autoSpaceDN w:val="0"/>
        <w:adjustRightInd w:val="0"/>
        <w:spacing w:after="120" w:line="240" w:lineRule="auto"/>
        <w:contextualSpacing w:val="0"/>
        <w:jc w:val="both"/>
      </w:pPr>
      <w:r>
        <w:t>People aged over 60 years.</w:t>
      </w:r>
    </w:p>
    <w:p w:rsidR="005D1289" w:rsidRPr="000A4A51" w:rsidRDefault="005D1289" w:rsidP="00FC5095">
      <w:pPr>
        <w:pStyle w:val="ListParagraph"/>
        <w:numPr>
          <w:ilvl w:val="0"/>
          <w:numId w:val="7"/>
        </w:numPr>
        <w:autoSpaceDE w:val="0"/>
        <w:autoSpaceDN w:val="0"/>
        <w:adjustRightInd w:val="0"/>
        <w:spacing w:after="120" w:line="240" w:lineRule="auto"/>
        <w:contextualSpacing w:val="0"/>
        <w:jc w:val="both"/>
      </w:pPr>
      <w:r>
        <w:t>People on a disability pension.</w:t>
      </w:r>
    </w:p>
    <w:p w:rsidR="005D1289" w:rsidRPr="000A4A51" w:rsidRDefault="005D1289" w:rsidP="00FC5095">
      <w:pPr>
        <w:pStyle w:val="ListParagraph"/>
        <w:numPr>
          <w:ilvl w:val="0"/>
          <w:numId w:val="7"/>
        </w:numPr>
        <w:autoSpaceDE w:val="0"/>
        <w:autoSpaceDN w:val="0"/>
        <w:adjustRightInd w:val="0"/>
        <w:spacing w:after="120" w:line="240" w:lineRule="auto"/>
        <w:contextualSpacing w:val="0"/>
        <w:jc w:val="both"/>
      </w:pPr>
      <w:r>
        <w:t>Adults on a low income.</w:t>
      </w:r>
    </w:p>
    <w:p w:rsidR="005D1289" w:rsidRPr="000A4A51" w:rsidRDefault="005D1289" w:rsidP="00FC5095">
      <w:pPr>
        <w:pStyle w:val="ListParagraph"/>
        <w:numPr>
          <w:ilvl w:val="0"/>
          <w:numId w:val="7"/>
        </w:numPr>
        <w:autoSpaceDE w:val="0"/>
        <w:autoSpaceDN w:val="0"/>
        <w:adjustRightInd w:val="0"/>
        <w:spacing w:after="120" w:line="240" w:lineRule="auto"/>
        <w:contextualSpacing w:val="0"/>
        <w:jc w:val="both"/>
      </w:pPr>
      <w:r>
        <w:t>Adults not in the labour force.</w:t>
      </w:r>
    </w:p>
    <w:p w:rsidR="005D1289" w:rsidRPr="000A4A51" w:rsidRDefault="005D1289" w:rsidP="00FC5095">
      <w:pPr>
        <w:pStyle w:val="ListParagraph"/>
        <w:numPr>
          <w:ilvl w:val="0"/>
          <w:numId w:val="7"/>
        </w:numPr>
        <w:autoSpaceDE w:val="0"/>
        <w:autoSpaceDN w:val="0"/>
        <w:adjustRightInd w:val="0"/>
        <w:spacing w:after="120" w:line="240" w:lineRule="auto"/>
        <w:contextualSpacing w:val="0"/>
        <w:jc w:val="both"/>
      </w:pPr>
      <w:r>
        <w:t xml:space="preserve">Young people </w:t>
      </w:r>
      <w:r w:rsidRPr="000A4A51">
        <w:t>aged below 17 years</w:t>
      </w:r>
      <w:r>
        <w:t>.</w:t>
      </w:r>
    </w:p>
    <w:p w:rsidR="005D1289" w:rsidRPr="000A4A51" w:rsidRDefault="005D1289" w:rsidP="00FC5095">
      <w:pPr>
        <w:pStyle w:val="ListParagraph"/>
        <w:numPr>
          <w:ilvl w:val="0"/>
          <w:numId w:val="7"/>
        </w:numPr>
        <w:autoSpaceDE w:val="0"/>
        <w:autoSpaceDN w:val="0"/>
        <w:adjustRightInd w:val="0"/>
        <w:spacing w:after="120" w:line="240" w:lineRule="auto"/>
        <w:contextualSpacing w:val="0"/>
        <w:jc w:val="both"/>
      </w:pPr>
      <w:r>
        <w:t>P</w:t>
      </w:r>
      <w:r w:rsidRPr="000A4A51">
        <w:t>eople enrolled in an educational institution.</w:t>
      </w:r>
    </w:p>
    <w:bookmarkEnd w:id="28"/>
    <w:bookmarkEnd w:id="29"/>
    <w:p w:rsidR="005D1289" w:rsidRDefault="005D1289" w:rsidP="005D1289">
      <w:pPr>
        <w:autoSpaceDE w:val="0"/>
        <w:autoSpaceDN w:val="0"/>
        <w:adjustRightInd w:val="0"/>
        <w:spacing w:after="120" w:line="240" w:lineRule="auto"/>
        <w:jc w:val="both"/>
      </w:pPr>
      <w:r w:rsidRPr="000A4A51">
        <w:t>People who are transport-disadvantaged rely primarily on</w:t>
      </w:r>
      <w:r>
        <w:t xml:space="preserve"> walking, public transport, lifts</w:t>
      </w:r>
      <w:r w:rsidRPr="000A4A51">
        <w:t xml:space="preserve"> from </w:t>
      </w:r>
      <w:r>
        <w:t>taxis and</w:t>
      </w:r>
      <w:r w:rsidRPr="000A4A51">
        <w:t xml:space="preserve"> family and</w:t>
      </w:r>
      <w:r>
        <w:t xml:space="preserve"> friends</w:t>
      </w:r>
      <w:r w:rsidRPr="000A4A51">
        <w:t xml:space="preserve"> to meet their needs. </w:t>
      </w:r>
      <w:r>
        <w:t xml:space="preserve">Lack of access to transport can </w:t>
      </w:r>
      <w:r w:rsidRPr="000A4A51">
        <w:t xml:space="preserve">affect </w:t>
      </w:r>
      <w:r>
        <w:t xml:space="preserve">a person’s </w:t>
      </w:r>
      <w:r w:rsidRPr="000A4A51">
        <w:t xml:space="preserve"> sense of wellbeing and quality of</w:t>
      </w:r>
      <w:r>
        <w:t xml:space="preserve"> </w:t>
      </w:r>
      <w:r w:rsidRPr="000A4A51">
        <w:t xml:space="preserve">life, and can exclude </w:t>
      </w:r>
      <w:r>
        <w:t xml:space="preserve"> them from participating in work and study opportunities as well as limiting access to services and social networks. These barriers can result in social exclusion.</w:t>
      </w:r>
    </w:p>
    <w:p w:rsidR="005D1289" w:rsidRPr="00D03F71" w:rsidRDefault="005D1289" w:rsidP="005D1289">
      <w:pPr>
        <w:autoSpaceDE w:val="0"/>
        <w:autoSpaceDN w:val="0"/>
        <w:adjustRightInd w:val="0"/>
        <w:spacing w:after="120" w:line="240" w:lineRule="auto"/>
        <w:jc w:val="both"/>
      </w:pPr>
      <w:r>
        <w:t>Figure 4 shows transport disadvantage along the Transit Corridor.</w:t>
      </w:r>
      <w:r w:rsidRPr="00D96482">
        <w:rPr>
          <w:i/>
          <w:iCs/>
          <w:lang w:val="en-GB"/>
        </w:rPr>
        <w:t xml:space="preserve"> </w:t>
      </w:r>
      <w:r>
        <w:rPr>
          <w:i/>
          <w:iCs/>
          <w:lang w:val="en-GB"/>
        </w:rPr>
        <w:t xml:space="preserve"> </w:t>
      </w:r>
      <w:r w:rsidRPr="008847AF">
        <w:rPr>
          <w:lang w:val="en-GB"/>
        </w:rPr>
        <w:t xml:space="preserve">Similar to </w:t>
      </w:r>
      <w:proofErr w:type="spellStart"/>
      <w:r w:rsidRPr="008847AF">
        <w:rPr>
          <w:lang w:val="en-GB"/>
        </w:rPr>
        <w:t>SEIFA</w:t>
      </w:r>
      <w:proofErr w:type="spellEnd"/>
      <w:r>
        <w:rPr>
          <w:i/>
          <w:iCs/>
          <w:lang w:val="en-GB"/>
        </w:rPr>
        <w:t xml:space="preserve">, </w:t>
      </w:r>
      <w:r>
        <w:t>h</w:t>
      </w:r>
      <w:r w:rsidRPr="00BD2F25">
        <w:t>igh to very high areas of transport disadvantage occur in Glenorchy and Moonah.</w:t>
      </w:r>
    </w:p>
    <w:p w:rsidR="005D1289" w:rsidRDefault="005D1289" w:rsidP="005D1289">
      <w:pPr>
        <w:rPr>
          <w:b/>
          <w:bCs/>
          <w:color w:val="4F81BD"/>
          <w:sz w:val="18"/>
          <w:szCs w:val="18"/>
        </w:rPr>
        <w:sectPr w:rsidR="005D1289" w:rsidSect="0081590E">
          <w:pgSz w:w="11906" w:h="16838"/>
          <w:pgMar w:top="1440" w:right="1440" w:bottom="1440" w:left="1440" w:header="708" w:footer="708" w:gutter="0"/>
          <w:cols w:space="708"/>
          <w:docGrid w:linePitch="360"/>
        </w:sectPr>
      </w:pPr>
    </w:p>
    <w:p w:rsidR="005D1289" w:rsidRDefault="005D1289" w:rsidP="005D1289">
      <w:pPr>
        <w:rPr>
          <w:b/>
          <w:bCs/>
          <w:color w:val="4F81BD"/>
          <w:sz w:val="18"/>
          <w:szCs w:val="18"/>
        </w:rPr>
      </w:pPr>
    </w:p>
    <w:p w:rsidR="005D1289" w:rsidRDefault="005D1289" w:rsidP="005D1289">
      <w:pPr>
        <w:pStyle w:val="Caption"/>
      </w:pPr>
      <w:r>
        <w:t xml:space="preserve">Figure </w:t>
      </w:r>
      <w:fldSimple w:instr=" SEQ Figure \* ARABIC ">
        <w:r w:rsidR="00361A55">
          <w:rPr>
            <w:noProof/>
          </w:rPr>
          <w:t>4</w:t>
        </w:r>
      </w:fldSimple>
      <w:r>
        <w:t xml:space="preserve"> Transport disadvantage</w:t>
      </w:r>
    </w:p>
    <w:p w:rsidR="005D1289" w:rsidRPr="00C30157" w:rsidRDefault="00637FD9" w:rsidP="005D1289">
      <w:r w:rsidRPr="00637FD9">
        <w:rPr>
          <w:noProof/>
          <w:lang w:val="en-US"/>
        </w:rPr>
        <w:pict>
          <v:shape id="_x0000_s1038" type="#_x0000_t202" style="position:absolute;margin-left:22.55pt;margin-top:591.65pt;width:302.95pt;height:24.75pt;z-index:251688960" stroked="f">
            <v:textbox style="mso-next-textbox:#_x0000_s1038">
              <w:txbxContent>
                <w:p w:rsidR="00935B0B" w:rsidRDefault="00935B0B" w:rsidP="005D1289">
                  <w:pPr>
                    <w:autoSpaceDE w:val="0"/>
                    <w:autoSpaceDN w:val="0"/>
                    <w:adjustRightInd w:val="0"/>
                    <w:spacing w:after="0" w:line="240" w:lineRule="auto"/>
                    <w:jc w:val="both"/>
                    <w:rPr>
                      <w:sz w:val="18"/>
                      <w:szCs w:val="18"/>
                    </w:rPr>
                  </w:pPr>
                  <w:r w:rsidRPr="008847AF">
                    <w:rPr>
                      <w:sz w:val="18"/>
                      <w:szCs w:val="18"/>
                    </w:rPr>
                    <w:t xml:space="preserve">Source: Based on </w:t>
                  </w:r>
                  <w:proofErr w:type="spellStart"/>
                  <w:r w:rsidRPr="008847AF">
                    <w:rPr>
                      <w:sz w:val="18"/>
                      <w:szCs w:val="18"/>
                    </w:rPr>
                    <w:t>Booz</w:t>
                  </w:r>
                  <w:proofErr w:type="spellEnd"/>
                  <w:r w:rsidRPr="008847AF">
                    <w:rPr>
                      <w:sz w:val="18"/>
                      <w:szCs w:val="18"/>
                    </w:rPr>
                    <w:t xml:space="preserve"> and Company methodology, 2008.</w:t>
                  </w:r>
                </w:p>
                <w:p w:rsidR="00935B0B" w:rsidRDefault="00935B0B" w:rsidP="005D1289"/>
              </w:txbxContent>
            </v:textbox>
          </v:shape>
        </w:pict>
      </w:r>
      <w:r w:rsidR="005D1289">
        <w:rPr>
          <w:noProof/>
          <w:lang w:eastAsia="en-AU"/>
        </w:rPr>
        <w:drawing>
          <wp:inline distT="0" distB="0" distL="0" distR="0">
            <wp:extent cx="5734050" cy="8096250"/>
            <wp:effectExtent l="19050" t="0" r="0" b="0"/>
            <wp:docPr id="2" name="Picture 10" descr="Transit Corridors_transport disadvantag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it Corridors_transport disadvantageV2.jpg"/>
                    <pic:cNvPicPr>
                      <a:picLocks noChangeAspect="1" noChangeArrowheads="1"/>
                    </pic:cNvPicPr>
                  </pic:nvPicPr>
                  <pic:blipFill>
                    <a:blip r:embed="rId10" cstate="print"/>
                    <a:srcRect/>
                    <a:stretch>
                      <a:fillRect/>
                    </a:stretch>
                  </pic:blipFill>
                  <pic:spPr bwMode="auto">
                    <a:xfrm>
                      <a:off x="0" y="0"/>
                      <a:ext cx="5734050" cy="8096250"/>
                    </a:xfrm>
                    <a:prstGeom prst="rect">
                      <a:avLst/>
                    </a:prstGeom>
                    <a:noFill/>
                    <a:ln w="9525">
                      <a:noFill/>
                      <a:miter lim="800000"/>
                      <a:headEnd/>
                      <a:tailEnd/>
                    </a:ln>
                  </pic:spPr>
                </pic:pic>
              </a:graphicData>
            </a:graphic>
          </wp:inline>
        </w:drawing>
      </w:r>
    </w:p>
    <w:p w:rsidR="005D1289" w:rsidRDefault="005D1289" w:rsidP="005D1289">
      <w:pPr>
        <w:pStyle w:val="Heading2"/>
      </w:pPr>
      <w:bookmarkStart w:id="30" w:name="_Toc329331941"/>
      <w:r>
        <w:lastRenderedPageBreak/>
        <w:t>Car ownership</w:t>
      </w:r>
      <w:bookmarkEnd w:id="30"/>
    </w:p>
    <w:p w:rsidR="005D1289" w:rsidRDefault="005D1289" w:rsidP="005D1289">
      <w:pPr>
        <w:autoSpaceDE w:val="0"/>
        <w:autoSpaceDN w:val="0"/>
        <w:adjustRightInd w:val="0"/>
        <w:spacing w:after="120" w:line="240" w:lineRule="auto"/>
        <w:jc w:val="both"/>
      </w:pPr>
      <w:r w:rsidRPr="00954C17">
        <w:t>Tasmanians are hi</w:t>
      </w:r>
      <w:r>
        <w:t xml:space="preserve">ghly dependent on private cars, with the total number of registered motor vehicles increasing from 350 976 in 2004 to 409 949 in 2010, an increase of 16.8 percent (ABS, 2011). </w:t>
      </w:r>
      <w:r w:rsidRPr="00954C17">
        <w:t>Tasmania</w:t>
      </w:r>
      <w:r>
        <w:t xml:space="preserve"> has the second </w:t>
      </w:r>
      <w:r w:rsidRPr="00954C17">
        <w:t>highest number of</w:t>
      </w:r>
      <w:r>
        <w:t xml:space="preserve"> registered motor vehicles per 1000 population</w:t>
      </w:r>
      <w:r w:rsidRPr="00954C17">
        <w:t xml:space="preserve">, </w:t>
      </w:r>
      <w:r>
        <w:t xml:space="preserve">representing </w:t>
      </w:r>
      <w:r w:rsidRPr="00954C17">
        <w:t>2.6</w:t>
      </w:r>
      <w:r>
        <w:t xml:space="preserve"> percent </w:t>
      </w:r>
      <w:r w:rsidRPr="00954C17">
        <w:t>of Austra</w:t>
      </w:r>
      <w:r>
        <w:t>lia’s vehicle fleet, but only 2.3 percent</w:t>
      </w:r>
      <w:r w:rsidRPr="00954C17">
        <w:t xml:space="preserve"> of </w:t>
      </w:r>
      <w:r>
        <w:t>Australia’s</w:t>
      </w:r>
      <w:r w:rsidRPr="00954C17">
        <w:t xml:space="preserve"> total population.</w:t>
      </w:r>
    </w:p>
    <w:p w:rsidR="005D1289" w:rsidRDefault="005D1289" w:rsidP="005D1289">
      <w:pPr>
        <w:autoSpaceDE w:val="0"/>
        <w:autoSpaceDN w:val="0"/>
        <w:adjustRightInd w:val="0"/>
        <w:spacing w:after="120" w:line="240" w:lineRule="auto"/>
        <w:jc w:val="both"/>
      </w:pPr>
      <w:r>
        <w:t>Despite car ownership increasing, there has been a slight decrease in total and average kilometres travelled. From 2005, the average kilometres travelled in Tasmania has decreased from 14 700 to 12 100 in 2010 (ABS, 2011).</w:t>
      </w:r>
    </w:p>
    <w:p w:rsidR="005D1289" w:rsidRPr="000C7EB1" w:rsidRDefault="005D1289" w:rsidP="005D1289">
      <w:pPr>
        <w:spacing w:after="120" w:line="240" w:lineRule="auto"/>
        <w:jc w:val="both"/>
        <w:rPr>
          <w:lang w:eastAsia="en-AU"/>
        </w:rPr>
      </w:pPr>
      <w:r>
        <w:rPr>
          <w:lang w:eastAsia="en-AU"/>
        </w:rPr>
        <w:t>Total passenger vehicle kilometres travelled for Hobart, show that there has also been a slight decrease since 2006/07 from 2.24 billion kilometres to 2.18 billion kilometres in 2008/09 (</w:t>
      </w:r>
      <w:proofErr w:type="spellStart"/>
      <w:r>
        <w:rPr>
          <w:lang w:eastAsia="en-AU"/>
        </w:rPr>
        <w:t>BTRE</w:t>
      </w:r>
      <w:proofErr w:type="spellEnd"/>
      <w:r>
        <w:rPr>
          <w:lang w:eastAsia="en-AU"/>
        </w:rPr>
        <w:t xml:space="preserve"> and</w:t>
      </w:r>
      <w:r w:rsidRPr="000C7EB1">
        <w:rPr>
          <w:lang w:eastAsia="en-AU"/>
        </w:rPr>
        <w:t xml:space="preserve"> </w:t>
      </w:r>
      <w:proofErr w:type="spellStart"/>
      <w:r w:rsidRPr="000C7EB1">
        <w:rPr>
          <w:lang w:eastAsia="en-AU"/>
        </w:rPr>
        <w:t>BITRE</w:t>
      </w:r>
      <w:proofErr w:type="spellEnd"/>
      <w:r w:rsidRPr="000C7EB1">
        <w:rPr>
          <w:lang w:eastAsia="en-AU"/>
        </w:rPr>
        <w:t xml:space="preserve"> estimates</w:t>
      </w:r>
      <w:r>
        <w:rPr>
          <w:lang w:eastAsia="en-AU"/>
        </w:rPr>
        <w:t>, 2007).</w:t>
      </w:r>
    </w:p>
    <w:p w:rsidR="005D1289" w:rsidRDefault="005D1289" w:rsidP="005D1289">
      <w:pPr>
        <w:autoSpaceDE w:val="0"/>
        <w:autoSpaceDN w:val="0"/>
        <w:adjustRightInd w:val="0"/>
        <w:spacing w:after="120" w:line="240" w:lineRule="auto"/>
        <w:jc w:val="both"/>
      </w:pPr>
      <w:r>
        <w:t xml:space="preserve">Levels of car ownership also provide an indication of areas which may experience transport disadvantage and therefore have to rely on other modes of transport. In Tasmania, on average, 10 percent of households have no car. Councils with the highest </w:t>
      </w:r>
      <w:r w:rsidRPr="00634A24">
        <w:t xml:space="preserve">proportions of households </w:t>
      </w:r>
      <w:r>
        <w:t>not owning a car</w:t>
      </w:r>
      <w:r w:rsidRPr="00634A24">
        <w:t xml:space="preserve"> included Hobart (</w:t>
      </w:r>
      <w:r>
        <w:t>12 per cent) and</w:t>
      </w:r>
      <w:r w:rsidRPr="00634A24">
        <w:t xml:space="preserve"> Glenorchy (14 percent)</w:t>
      </w:r>
      <w:r>
        <w:t xml:space="preserve"> (ABS 2006). It is interesting to note that Brighton Council, although experiencing very high levels of disadvantage has a greater proportion of households owning a car. This is largely a reflection of living in an outer urban area with lower densities and fewer suitable bus services which necessitate increased car ownership.</w:t>
      </w:r>
    </w:p>
    <w:p w:rsidR="005D1289" w:rsidRDefault="005D1289" w:rsidP="005D1289">
      <w:pPr>
        <w:autoSpaceDE w:val="0"/>
        <w:autoSpaceDN w:val="0"/>
        <w:adjustRightInd w:val="0"/>
        <w:spacing w:after="120" w:line="240" w:lineRule="auto"/>
        <w:jc w:val="both"/>
      </w:pPr>
      <w:r>
        <w:t>Although households in Hobart and Glenorchy have lower levels of car ownership, these areas are relatively well serviced by public transport and most households are within walking distance of local shops. As people living in inner urban areas are likely to experience greater levels of accessibility, not owning a car is likely to be less of a disadvantage compared to an outer urban area.</w:t>
      </w:r>
    </w:p>
    <w:p w:rsidR="005D1289" w:rsidRDefault="005D1289" w:rsidP="005D1289">
      <w:pPr>
        <w:autoSpaceDE w:val="0"/>
        <w:autoSpaceDN w:val="0"/>
        <w:adjustRightInd w:val="0"/>
        <w:spacing w:after="120" w:line="240" w:lineRule="auto"/>
        <w:jc w:val="both"/>
      </w:pPr>
      <w:r>
        <w:t xml:space="preserve">The lower levels of household car ownership in inner urban areas, suggests that people are relying on other modes for travel. Increasing the residential density of inner urban areas, which are well serviced by public transport, will mean that some households may opt for only having one car. </w:t>
      </w:r>
    </w:p>
    <w:p w:rsidR="005D1289" w:rsidRDefault="005D1289" w:rsidP="005D1289">
      <w:pPr>
        <w:pStyle w:val="Caption"/>
      </w:pPr>
      <w:r>
        <w:t xml:space="preserve">Figure </w:t>
      </w:r>
      <w:fldSimple w:instr=" SEQ Figure \* ARABIC ">
        <w:r w:rsidR="00361A55">
          <w:rPr>
            <w:noProof/>
          </w:rPr>
          <w:t>5</w:t>
        </w:r>
      </w:fldSimple>
      <w:r>
        <w:t xml:space="preserve"> Levels of car ownership by household</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5"/>
        <w:gridCol w:w="2435"/>
        <w:gridCol w:w="2435"/>
        <w:gridCol w:w="1997"/>
      </w:tblGrid>
      <w:tr w:rsidR="005D1289" w:rsidRPr="00FD3C2A" w:rsidTr="000F1246">
        <w:tc>
          <w:tcPr>
            <w:tcW w:w="2375" w:type="dxa"/>
          </w:tcPr>
          <w:p w:rsidR="005D1289" w:rsidRPr="00FD3C2A" w:rsidRDefault="005D1289" w:rsidP="000F1246">
            <w:pPr>
              <w:autoSpaceDE w:val="0"/>
              <w:autoSpaceDN w:val="0"/>
              <w:adjustRightInd w:val="0"/>
              <w:spacing w:after="0" w:line="240" w:lineRule="auto"/>
              <w:rPr>
                <w:b/>
                <w:bCs/>
                <w:sz w:val="18"/>
                <w:szCs w:val="18"/>
              </w:rPr>
            </w:pPr>
            <w:r w:rsidRPr="00FD3C2A">
              <w:rPr>
                <w:b/>
                <w:bCs/>
                <w:sz w:val="18"/>
                <w:szCs w:val="18"/>
              </w:rPr>
              <w:t>Council</w:t>
            </w:r>
          </w:p>
        </w:tc>
        <w:tc>
          <w:tcPr>
            <w:tcW w:w="2435" w:type="dxa"/>
          </w:tcPr>
          <w:p w:rsidR="005D1289" w:rsidRPr="00FD3C2A" w:rsidRDefault="005D1289" w:rsidP="000F1246">
            <w:pPr>
              <w:autoSpaceDE w:val="0"/>
              <w:autoSpaceDN w:val="0"/>
              <w:adjustRightInd w:val="0"/>
              <w:spacing w:after="0" w:line="240" w:lineRule="auto"/>
              <w:rPr>
                <w:b/>
                <w:bCs/>
                <w:sz w:val="18"/>
                <w:szCs w:val="18"/>
              </w:rPr>
            </w:pPr>
            <w:r w:rsidRPr="00FD3C2A">
              <w:rPr>
                <w:b/>
                <w:bCs/>
                <w:sz w:val="18"/>
                <w:szCs w:val="18"/>
              </w:rPr>
              <w:t>Households with no cars</w:t>
            </w:r>
          </w:p>
        </w:tc>
        <w:tc>
          <w:tcPr>
            <w:tcW w:w="2435" w:type="dxa"/>
          </w:tcPr>
          <w:p w:rsidR="005D1289" w:rsidRPr="00FD3C2A" w:rsidRDefault="005D1289" w:rsidP="000F1246">
            <w:pPr>
              <w:autoSpaceDE w:val="0"/>
              <w:autoSpaceDN w:val="0"/>
              <w:adjustRightInd w:val="0"/>
              <w:spacing w:after="0" w:line="240" w:lineRule="auto"/>
              <w:rPr>
                <w:b/>
                <w:bCs/>
                <w:sz w:val="18"/>
                <w:szCs w:val="18"/>
              </w:rPr>
            </w:pPr>
            <w:r w:rsidRPr="00FD3C2A">
              <w:rPr>
                <w:b/>
                <w:bCs/>
                <w:sz w:val="18"/>
                <w:szCs w:val="18"/>
              </w:rPr>
              <w:t>Households with 1 car</w:t>
            </w:r>
          </w:p>
        </w:tc>
        <w:tc>
          <w:tcPr>
            <w:tcW w:w="1997" w:type="dxa"/>
          </w:tcPr>
          <w:p w:rsidR="005D1289" w:rsidRPr="00FD3C2A" w:rsidRDefault="005D1289" w:rsidP="000F1246">
            <w:pPr>
              <w:autoSpaceDE w:val="0"/>
              <w:autoSpaceDN w:val="0"/>
              <w:adjustRightInd w:val="0"/>
              <w:spacing w:after="0" w:line="240" w:lineRule="auto"/>
              <w:rPr>
                <w:b/>
                <w:bCs/>
                <w:sz w:val="18"/>
                <w:szCs w:val="18"/>
              </w:rPr>
            </w:pPr>
            <w:r w:rsidRPr="00FD3C2A">
              <w:rPr>
                <w:b/>
                <w:bCs/>
                <w:sz w:val="18"/>
                <w:szCs w:val="18"/>
              </w:rPr>
              <w:t>Lone person households with no car</w:t>
            </w:r>
          </w:p>
        </w:tc>
      </w:tr>
      <w:tr w:rsidR="005D1289" w:rsidRPr="00FD3C2A" w:rsidTr="000F1246">
        <w:tc>
          <w:tcPr>
            <w:tcW w:w="2375"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Glenorchy</w:t>
            </w:r>
          </w:p>
        </w:tc>
        <w:tc>
          <w:tcPr>
            <w:tcW w:w="2435"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lang w:eastAsia="en-AU"/>
              </w:rPr>
              <w:t>2 361 (14%)</w:t>
            </w:r>
          </w:p>
        </w:tc>
        <w:tc>
          <w:tcPr>
            <w:tcW w:w="2435"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lang w:eastAsia="en-AU"/>
              </w:rPr>
              <w:t>6 849 (41%)</w:t>
            </w:r>
          </w:p>
        </w:tc>
        <w:tc>
          <w:tcPr>
            <w:tcW w:w="1997" w:type="dxa"/>
          </w:tcPr>
          <w:p w:rsidR="005D1289" w:rsidRPr="00FD3C2A" w:rsidRDefault="005D1289" w:rsidP="000F1246">
            <w:pPr>
              <w:autoSpaceDE w:val="0"/>
              <w:autoSpaceDN w:val="0"/>
              <w:adjustRightInd w:val="0"/>
              <w:spacing w:after="0" w:line="240" w:lineRule="auto"/>
              <w:jc w:val="both"/>
              <w:rPr>
                <w:sz w:val="18"/>
                <w:szCs w:val="18"/>
                <w:lang w:eastAsia="en-AU"/>
              </w:rPr>
            </w:pPr>
            <w:r w:rsidRPr="00FD3C2A">
              <w:rPr>
                <w:sz w:val="18"/>
                <w:szCs w:val="18"/>
                <w:lang w:eastAsia="en-AU"/>
              </w:rPr>
              <w:t>1 689 (30%)</w:t>
            </w:r>
          </w:p>
        </w:tc>
      </w:tr>
      <w:tr w:rsidR="005D1289" w:rsidRPr="00FD3C2A" w:rsidTr="000F1246">
        <w:tc>
          <w:tcPr>
            <w:tcW w:w="2375"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Hobart</w:t>
            </w:r>
          </w:p>
        </w:tc>
        <w:tc>
          <w:tcPr>
            <w:tcW w:w="2435"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lang w:eastAsia="en-AU"/>
              </w:rPr>
              <w:t>2 384 (12%)</w:t>
            </w:r>
          </w:p>
        </w:tc>
        <w:tc>
          <w:tcPr>
            <w:tcW w:w="2435"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lang w:eastAsia="en-AU"/>
              </w:rPr>
              <w:t>7 985 (42%)</w:t>
            </w:r>
          </w:p>
        </w:tc>
        <w:tc>
          <w:tcPr>
            <w:tcW w:w="1997"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1 729 (27%)</w:t>
            </w:r>
          </w:p>
        </w:tc>
      </w:tr>
      <w:tr w:rsidR="005D1289" w:rsidRPr="00FD3C2A" w:rsidTr="000F1246">
        <w:tc>
          <w:tcPr>
            <w:tcW w:w="2375"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Brighton</w:t>
            </w:r>
          </w:p>
        </w:tc>
        <w:tc>
          <w:tcPr>
            <w:tcW w:w="2435"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lang w:eastAsia="en-AU"/>
              </w:rPr>
              <w:t>396 (8%)</w:t>
            </w:r>
          </w:p>
        </w:tc>
        <w:tc>
          <w:tcPr>
            <w:tcW w:w="2435"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lang w:eastAsia="en-AU"/>
              </w:rPr>
              <w:t>1,518 (33%)</w:t>
            </w:r>
          </w:p>
        </w:tc>
        <w:tc>
          <w:tcPr>
            <w:tcW w:w="1997"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162 (20%)</w:t>
            </w:r>
          </w:p>
        </w:tc>
      </w:tr>
    </w:tbl>
    <w:p w:rsidR="005D1289" w:rsidRPr="000B1C1F" w:rsidRDefault="005D1289" w:rsidP="005D1289">
      <w:pPr>
        <w:autoSpaceDE w:val="0"/>
        <w:autoSpaceDN w:val="0"/>
        <w:adjustRightInd w:val="0"/>
        <w:spacing w:after="120" w:line="240" w:lineRule="auto"/>
        <w:jc w:val="both"/>
        <w:rPr>
          <w:sz w:val="18"/>
          <w:szCs w:val="18"/>
        </w:rPr>
      </w:pPr>
      <w:r w:rsidRPr="00C040B4">
        <w:rPr>
          <w:sz w:val="18"/>
          <w:szCs w:val="18"/>
        </w:rPr>
        <w:t xml:space="preserve">Source: </w:t>
      </w:r>
      <w:r>
        <w:rPr>
          <w:sz w:val="18"/>
          <w:szCs w:val="18"/>
        </w:rPr>
        <w:t>ABS</w:t>
      </w:r>
      <w:r w:rsidRPr="00C040B4">
        <w:rPr>
          <w:sz w:val="18"/>
          <w:szCs w:val="18"/>
        </w:rPr>
        <w:t>, 200</w:t>
      </w:r>
      <w:r>
        <w:rPr>
          <w:sz w:val="18"/>
          <w:szCs w:val="18"/>
        </w:rPr>
        <w:t>6.</w:t>
      </w:r>
    </w:p>
    <w:p w:rsidR="005D1289" w:rsidRDefault="005D1289" w:rsidP="005D1289">
      <w:pPr>
        <w:pStyle w:val="Heading1"/>
      </w:pPr>
      <w:bookmarkStart w:id="31" w:name="_Toc329331942"/>
      <w:r>
        <w:t>Travel patterns</w:t>
      </w:r>
      <w:bookmarkEnd w:id="31"/>
    </w:p>
    <w:p w:rsidR="005D1289" w:rsidRDefault="005D1289" w:rsidP="005D1289">
      <w:pPr>
        <w:pStyle w:val="Heading2"/>
      </w:pPr>
      <w:bookmarkStart w:id="32" w:name="_Toc329331943"/>
      <w:r>
        <w:t>Journey to work analysis</w:t>
      </w:r>
      <w:bookmarkEnd w:id="32"/>
    </w:p>
    <w:p w:rsidR="005D1289" w:rsidRDefault="005D1289" w:rsidP="005D1289">
      <w:pPr>
        <w:autoSpaceDE w:val="0"/>
        <w:autoSpaceDN w:val="0"/>
        <w:adjustRightInd w:val="0"/>
        <w:spacing w:after="120" w:line="240" w:lineRule="auto"/>
        <w:jc w:val="both"/>
      </w:pPr>
      <w:r>
        <w:t>The journey to work often forms the ‘backbone’ of regular travel patterns for many people and usually occurs during peak travel times. However, it should be noted that the journey to work data only captures a proportion of Greater Hobart’s trip patterns; 38 percent of Greater Hobart’s population were recorded as undertaking the journey to work in the 2006 Census.</w:t>
      </w:r>
    </w:p>
    <w:p w:rsidR="005D1289" w:rsidRDefault="005D1289" w:rsidP="005D1289">
      <w:pPr>
        <w:pStyle w:val="Heading3"/>
      </w:pPr>
      <w:bookmarkStart w:id="33" w:name="_Toc329331944"/>
      <w:r>
        <w:lastRenderedPageBreak/>
        <w:t>Journey to work within Greater Hobart</w:t>
      </w:r>
      <w:bookmarkEnd w:id="33"/>
    </w:p>
    <w:p w:rsidR="005D1289" w:rsidRDefault="005D1289" w:rsidP="005D1289">
      <w:pPr>
        <w:autoSpaceDE w:val="0"/>
        <w:autoSpaceDN w:val="0"/>
        <w:adjustRightInd w:val="0"/>
        <w:spacing w:after="120" w:line="240" w:lineRule="auto"/>
        <w:jc w:val="both"/>
      </w:pPr>
      <w:r>
        <w:t xml:space="preserve">In Greater Hobart, the car dominates the journey to work accounting for 78.8 percent of trips, followed by walking (7.3 percent) and bus (6.1 percent).  </w:t>
      </w:r>
    </w:p>
    <w:p w:rsidR="005D1289" w:rsidRDefault="005D1289" w:rsidP="005D1289">
      <w:pPr>
        <w:pStyle w:val="Caption"/>
      </w:pPr>
      <w:r>
        <w:t xml:space="preserve">Figure </w:t>
      </w:r>
      <w:fldSimple w:instr=" SEQ Figure \* ARABIC ">
        <w:r w:rsidR="00361A55">
          <w:rPr>
            <w:noProof/>
          </w:rPr>
          <w:t>6</w:t>
        </w:r>
      </w:fldSimple>
      <w:r>
        <w:t xml:space="preserve"> Journey to work mode share in Greater Hobart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2410"/>
      </w:tblGrid>
      <w:tr w:rsidR="005D1289" w:rsidRPr="00FD3C2A" w:rsidTr="000F1246">
        <w:tc>
          <w:tcPr>
            <w:tcW w:w="2376" w:type="dxa"/>
          </w:tcPr>
          <w:p w:rsidR="005D1289" w:rsidRPr="00FD3C2A" w:rsidRDefault="005D1289" w:rsidP="000F1246">
            <w:pPr>
              <w:spacing w:after="0" w:line="240" w:lineRule="auto"/>
              <w:rPr>
                <w:b/>
                <w:bCs/>
                <w:sz w:val="18"/>
                <w:szCs w:val="18"/>
              </w:rPr>
            </w:pPr>
            <w:r w:rsidRPr="00FD3C2A">
              <w:rPr>
                <w:b/>
                <w:bCs/>
                <w:sz w:val="18"/>
                <w:szCs w:val="18"/>
              </w:rPr>
              <w:t>Mode</w:t>
            </w:r>
          </w:p>
        </w:tc>
        <w:tc>
          <w:tcPr>
            <w:tcW w:w="2410" w:type="dxa"/>
          </w:tcPr>
          <w:p w:rsidR="005D1289" w:rsidRPr="00FD3C2A" w:rsidRDefault="005D1289" w:rsidP="000F1246">
            <w:pPr>
              <w:spacing w:after="0" w:line="240" w:lineRule="auto"/>
              <w:rPr>
                <w:b/>
                <w:bCs/>
                <w:sz w:val="18"/>
                <w:szCs w:val="18"/>
              </w:rPr>
            </w:pPr>
            <w:r w:rsidRPr="00FD3C2A">
              <w:rPr>
                <w:b/>
                <w:bCs/>
                <w:sz w:val="18"/>
                <w:szCs w:val="18"/>
              </w:rPr>
              <w:t>Mode share %</w:t>
            </w:r>
          </w:p>
        </w:tc>
      </w:tr>
      <w:tr w:rsidR="005D1289" w:rsidRPr="00FD3C2A" w:rsidTr="000F1246">
        <w:tc>
          <w:tcPr>
            <w:tcW w:w="2376" w:type="dxa"/>
          </w:tcPr>
          <w:p w:rsidR="005D1289" w:rsidRPr="00FD3C2A" w:rsidRDefault="005D1289" w:rsidP="000F1246">
            <w:pPr>
              <w:spacing w:after="0" w:line="240" w:lineRule="auto"/>
              <w:rPr>
                <w:sz w:val="18"/>
                <w:szCs w:val="18"/>
              </w:rPr>
            </w:pPr>
            <w:r w:rsidRPr="00FD3C2A">
              <w:rPr>
                <w:sz w:val="18"/>
                <w:szCs w:val="18"/>
              </w:rPr>
              <w:t>Car as driver*</w:t>
            </w:r>
          </w:p>
        </w:tc>
        <w:tc>
          <w:tcPr>
            <w:tcW w:w="2410" w:type="dxa"/>
          </w:tcPr>
          <w:p w:rsidR="005D1289" w:rsidRPr="00FD3C2A" w:rsidRDefault="005D1289" w:rsidP="000F1246">
            <w:pPr>
              <w:spacing w:after="0" w:line="240" w:lineRule="auto"/>
              <w:rPr>
                <w:sz w:val="18"/>
                <w:szCs w:val="18"/>
              </w:rPr>
            </w:pPr>
            <w:r w:rsidRPr="00FD3C2A">
              <w:rPr>
                <w:sz w:val="18"/>
                <w:szCs w:val="18"/>
              </w:rPr>
              <w:t>69.4</w:t>
            </w:r>
          </w:p>
        </w:tc>
      </w:tr>
      <w:tr w:rsidR="005D1289" w:rsidRPr="00FD3C2A" w:rsidTr="000F1246">
        <w:tc>
          <w:tcPr>
            <w:tcW w:w="2376" w:type="dxa"/>
          </w:tcPr>
          <w:p w:rsidR="005D1289" w:rsidRPr="00FD3C2A" w:rsidRDefault="005D1289" w:rsidP="000F1246">
            <w:pPr>
              <w:spacing w:after="0" w:line="240" w:lineRule="auto"/>
              <w:rPr>
                <w:sz w:val="18"/>
                <w:szCs w:val="18"/>
              </w:rPr>
            </w:pPr>
            <w:r w:rsidRPr="00FD3C2A">
              <w:rPr>
                <w:sz w:val="18"/>
                <w:szCs w:val="18"/>
              </w:rPr>
              <w:t>Car as passenger*</w:t>
            </w:r>
          </w:p>
        </w:tc>
        <w:tc>
          <w:tcPr>
            <w:tcW w:w="2410" w:type="dxa"/>
          </w:tcPr>
          <w:p w:rsidR="005D1289" w:rsidRPr="00FD3C2A" w:rsidRDefault="005D1289" w:rsidP="000F1246">
            <w:pPr>
              <w:spacing w:after="0" w:line="240" w:lineRule="auto"/>
              <w:rPr>
                <w:sz w:val="18"/>
                <w:szCs w:val="18"/>
              </w:rPr>
            </w:pPr>
            <w:r w:rsidRPr="00FD3C2A">
              <w:rPr>
                <w:sz w:val="18"/>
                <w:szCs w:val="18"/>
              </w:rPr>
              <w:t>9.4</w:t>
            </w:r>
          </w:p>
        </w:tc>
      </w:tr>
      <w:tr w:rsidR="005D1289" w:rsidRPr="00FD3C2A" w:rsidTr="000F1246">
        <w:tc>
          <w:tcPr>
            <w:tcW w:w="2376" w:type="dxa"/>
          </w:tcPr>
          <w:p w:rsidR="005D1289" w:rsidRPr="00FD3C2A" w:rsidRDefault="005D1289" w:rsidP="000F1246">
            <w:pPr>
              <w:spacing w:after="0" w:line="240" w:lineRule="auto"/>
              <w:rPr>
                <w:sz w:val="18"/>
                <w:szCs w:val="18"/>
              </w:rPr>
            </w:pPr>
            <w:r w:rsidRPr="00FD3C2A">
              <w:rPr>
                <w:sz w:val="18"/>
                <w:szCs w:val="18"/>
              </w:rPr>
              <w:t>Walked only</w:t>
            </w:r>
          </w:p>
        </w:tc>
        <w:tc>
          <w:tcPr>
            <w:tcW w:w="2410" w:type="dxa"/>
          </w:tcPr>
          <w:p w:rsidR="005D1289" w:rsidRPr="00FD3C2A" w:rsidRDefault="005D1289" w:rsidP="000F1246">
            <w:pPr>
              <w:spacing w:after="0" w:line="240" w:lineRule="auto"/>
              <w:rPr>
                <w:sz w:val="18"/>
                <w:szCs w:val="18"/>
              </w:rPr>
            </w:pPr>
            <w:r w:rsidRPr="00FD3C2A">
              <w:rPr>
                <w:sz w:val="18"/>
                <w:szCs w:val="18"/>
              </w:rPr>
              <w:t>7.3</w:t>
            </w:r>
          </w:p>
        </w:tc>
      </w:tr>
      <w:tr w:rsidR="005D1289" w:rsidRPr="00FD3C2A" w:rsidTr="000F1246">
        <w:tc>
          <w:tcPr>
            <w:tcW w:w="2376" w:type="dxa"/>
          </w:tcPr>
          <w:p w:rsidR="005D1289" w:rsidRPr="00FD3C2A" w:rsidRDefault="005D1289" w:rsidP="000F1246">
            <w:pPr>
              <w:spacing w:after="0" w:line="240" w:lineRule="auto"/>
              <w:rPr>
                <w:sz w:val="18"/>
                <w:szCs w:val="18"/>
              </w:rPr>
            </w:pPr>
            <w:r w:rsidRPr="00FD3C2A">
              <w:rPr>
                <w:sz w:val="18"/>
                <w:szCs w:val="18"/>
              </w:rPr>
              <w:t>Bus*</w:t>
            </w:r>
          </w:p>
        </w:tc>
        <w:tc>
          <w:tcPr>
            <w:tcW w:w="2410" w:type="dxa"/>
          </w:tcPr>
          <w:p w:rsidR="005D1289" w:rsidRPr="00FD3C2A" w:rsidRDefault="005D1289" w:rsidP="000F1246">
            <w:pPr>
              <w:spacing w:after="0" w:line="240" w:lineRule="auto"/>
              <w:rPr>
                <w:sz w:val="18"/>
                <w:szCs w:val="18"/>
              </w:rPr>
            </w:pPr>
            <w:r w:rsidRPr="00FD3C2A">
              <w:rPr>
                <w:sz w:val="18"/>
                <w:szCs w:val="18"/>
              </w:rPr>
              <w:t>6.1</w:t>
            </w:r>
          </w:p>
        </w:tc>
      </w:tr>
      <w:tr w:rsidR="005D1289" w:rsidRPr="00FD3C2A" w:rsidTr="000F1246">
        <w:tc>
          <w:tcPr>
            <w:tcW w:w="2376" w:type="dxa"/>
          </w:tcPr>
          <w:p w:rsidR="005D1289" w:rsidRPr="00FD3C2A" w:rsidRDefault="005D1289" w:rsidP="000F1246">
            <w:pPr>
              <w:spacing w:after="0" w:line="240" w:lineRule="auto"/>
              <w:rPr>
                <w:sz w:val="18"/>
                <w:szCs w:val="18"/>
              </w:rPr>
            </w:pPr>
            <w:r w:rsidRPr="00FD3C2A">
              <w:rPr>
                <w:sz w:val="18"/>
                <w:szCs w:val="18"/>
              </w:rPr>
              <w:t>Bicycle</w:t>
            </w:r>
          </w:p>
        </w:tc>
        <w:tc>
          <w:tcPr>
            <w:tcW w:w="2410" w:type="dxa"/>
          </w:tcPr>
          <w:p w:rsidR="005D1289" w:rsidRPr="00FD3C2A" w:rsidRDefault="005D1289" w:rsidP="000F1246">
            <w:pPr>
              <w:spacing w:after="0" w:line="240" w:lineRule="auto"/>
              <w:rPr>
                <w:sz w:val="18"/>
                <w:szCs w:val="18"/>
              </w:rPr>
            </w:pPr>
            <w:bookmarkStart w:id="34" w:name="OLE_LINK28"/>
            <w:bookmarkStart w:id="35" w:name="OLE_LINK29"/>
            <w:r w:rsidRPr="00FD3C2A">
              <w:rPr>
                <w:sz w:val="18"/>
                <w:szCs w:val="18"/>
              </w:rPr>
              <w:t>1.1</w:t>
            </w:r>
            <w:bookmarkEnd w:id="34"/>
            <w:bookmarkEnd w:id="35"/>
          </w:p>
        </w:tc>
      </w:tr>
    </w:tbl>
    <w:p w:rsidR="005D1289" w:rsidRPr="004C7E6C" w:rsidRDefault="005D1289" w:rsidP="005D1289">
      <w:pPr>
        <w:spacing w:after="120" w:line="240" w:lineRule="auto"/>
        <w:rPr>
          <w:sz w:val="18"/>
          <w:szCs w:val="18"/>
        </w:rPr>
      </w:pPr>
      <w:r w:rsidRPr="004C7E6C">
        <w:rPr>
          <w:sz w:val="18"/>
          <w:szCs w:val="18"/>
        </w:rPr>
        <w:t>Source: ABS, 2006</w:t>
      </w:r>
      <w:r>
        <w:rPr>
          <w:sz w:val="18"/>
          <w:szCs w:val="18"/>
        </w:rPr>
        <w:t>.</w:t>
      </w:r>
    </w:p>
    <w:p w:rsidR="005D1289" w:rsidRPr="004C7E6C" w:rsidRDefault="005D1289" w:rsidP="005D1289">
      <w:pPr>
        <w:spacing w:after="120" w:line="240" w:lineRule="auto"/>
        <w:rPr>
          <w:sz w:val="18"/>
          <w:szCs w:val="18"/>
        </w:rPr>
      </w:pPr>
      <w:r w:rsidRPr="004C7E6C">
        <w:rPr>
          <w:sz w:val="18"/>
          <w:szCs w:val="18"/>
        </w:rPr>
        <w:t>* note includes two or more methods of journeying to work</w:t>
      </w:r>
      <w:r>
        <w:rPr>
          <w:sz w:val="18"/>
          <w:szCs w:val="18"/>
        </w:rPr>
        <w:t>, therefore figures do not total 100%.</w:t>
      </w:r>
    </w:p>
    <w:p w:rsidR="005D1289" w:rsidRDefault="005D1289" w:rsidP="005D1289">
      <w:pPr>
        <w:autoSpaceDE w:val="0"/>
        <w:autoSpaceDN w:val="0"/>
        <w:adjustRightInd w:val="0"/>
        <w:spacing w:after="0" w:line="240" w:lineRule="auto"/>
        <w:jc w:val="both"/>
      </w:pPr>
      <w:r w:rsidRPr="002A506F">
        <w:t xml:space="preserve">Within </w:t>
      </w:r>
      <w:r>
        <w:t xml:space="preserve">Greater Hobart, </w:t>
      </w:r>
      <w:r w:rsidRPr="002A506F">
        <w:t xml:space="preserve">Hobart </w:t>
      </w:r>
      <w:r>
        <w:t xml:space="preserve">City Council </w:t>
      </w:r>
      <w:r w:rsidRPr="002A506F">
        <w:t xml:space="preserve">is </w:t>
      </w:r>
      <w:r>
        <w:t>the</w:t>
      </w:r>
      <w:r w:rsidRPr="002A506F">
        <w:t xml:space="preserve"> largest destination of </w:t>
      </w:r>
      <w:r>
        <w:t>the journey to work</w:t>
      </w:r>
      <w:r w:rsidRPr="002A506F">
        <w:t>,</w:t>
      </w:r>
      <w:r>
        <w:t xml:space="preserve"> </w:t>
      </w:r>
      <w:r w:rsidRPr="002A506F">
        <w:t xml:space="preserve">which is indicative of </w:t>
      </w:r>
      <w:r>
        <w:t xml:space="preserve">the role of the Hobart </w:t>
      </w:r>
      <w:proofErr w:type="spellStart"/>
      <w:r>
        <w:t>CBD</w:t>
      </w:r>
      <w:proofErr w:type="spellEnd"/>
      <w:r>
        <w:t xml:space="preserve"> as the principal activity centre. Glenorchy is the second highest destination for journey to work, which is largely a reflection of its industrial base. Although </w:t>
      </w:r>
      <w:r w:rsidRPr="002A506F">
        <w:t xml:space="preserve">Clarence and </w:t>
      </w:r>
      <w:proofErr w:type="spellStart"/>
      <w:r w:rsidRPr="002A506F">
        <w:t>Kingborough</w:t>
      </w:r>
      <w:proofErr w:type="spellEnd"/>
      <w:r w:rsidRPr="002A506F">
        <w:t xml:space="preserve"> </w:t>
      </w:r>
      <w:r>
        <w:t xml:space="preserve">Councils </w:t>
      </w:r>
      <w:r w:rsidRPr="002A506F">
        <w:t>have seen the greatest percentage</w:t>
      </w:r>
      <w:r>
        <w:t xml:space="preserve"> </w:t>
      </w:r>
      <w:r w:rsidRPr="002A506F">
        <w:t xml:space="preserve">increase </w:t>
      </w:r>
      <w:r>
        <w:t xml:space="preserve">as a destination in the journey to work </w:t>
      </w:r>
      <w:r w:rsidRPr="002A506F">
        <w:t xml:space="preserve">from </w:t>
      </w:r>
      <w:r>
        <w:t>1996 to 2006, these increases are from a relatively low base.</w:t>
      </w:r>
    </w:p>
    <w:p w:rsidR="005D1289" w:rsidRDefault="005D1289" w:rsidP="005D1289">
      <w:pPr>
        <w:autoSpaceDE w:val="0"/>
        <w:autoSpaceDN w:val="0"/>
        <w:adjustRightInd w:val="0"/>
        <w:spacing w:after="0" w:line="240" w:lineRule="auto"/>
        <w:jc w:val="both"/>
      </w:pPr>
    </w:p>
    <w:p w:rsidR="005D1289" w:rsidRPr="004A3F17" w:rsidRDefault="005D1289" w:rsidP="005D1289">
      <w:pPr>
        <w:pStyle w:val="Caption"/>
      </w:pPr>
      <w:r>
        <w:t xml:space="preserve">Figure </w:t>
      </w:r>
      <w:fldSimple w:instr=" SEQ Figure \* ARABIC ">
        <w:r w:rsidR="00361A55">
          <w:rPr>
            <w:noProof/>
          </w:rPr>
          <w:t>7</w:t>
        </w:r>
      </w:fldSimple>
      <w:r>
        <w:t xml:space="preserve"> Journey to work key destinations within Greater Hobart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8"/>
        <w:gridCol w:w="1848"/>
        <w:gridCol w:w="1848"/>
        <w:gridCol w:w="1849"/>
        <w:gridCol w:w="1849"/>
      </w:tblGrid>
      <w:tr w:rsidR="005D1289" w:rsidRPr="00FD3C2A" w:rsidTr="000F1246">
        <w:tc>
          <w:tcPr>
            <w:tcW w:w="1848" w:type="dxa"/>
          </w:tcPr>
          <w:p w:rsidR="005D1289" w:rsidRPr="00FD3C2A" w:rsidRDefault="005D1289" w:rsidP="000F1246">
            <w:pPr>
              <w:autoSpaceDE w:val="0"/>
              <w:autoSpaceDN w:val="0"/>
              <w:adjustRightInd w:val="0"/>
              <w:spacing w:after="0" w:line="240" w:lineRule="auto"/>
              <w:jc w:val="both"/>
              <w:rPr>
                <w:b/>
                <w:bCs/>
                <w:sz w:val="18"/>
                <w:szCs w:val="18"/>
              </w:rPr>
            </w:pPr>
            <w:r w:rsidRPr="00FD3C2A">
              <w:rPr>
                <w:b/>
                <w:bCs/>
                <w:sz w:val="18"/>
                <w:szCs w:val="18"/>
              </w:rPr>
              <w:t>Journey to work destination</w:t>
            </w:r>
          </w:p>
        </w:tc>
        <w:tc>
          <w:tcPr>
            <w:tcW w:w="1848" w:type="dxa"/>
          </w:tcPr>
          <w:p w:rsidR="005D1289" w:rsidRPr="00FD3C2A" w:rsidRDefault="005D1289" w:rsidP="000F1246">
            <w:pPr>
              <w:autoSpaceDE w:val="0"/>
              <w:autoSpaceDN w:val="0"/>
              <w:adjustRightInd w:val="0"/>
              <w:spacing w:after="0" w:line="240" w:lineRule="auto"/>
              <w:jc w:val="both"/>
              <w:rPr>
                <w:b/>
                <w:bCs/>
                <w:sz w:val="18"/>
                <w:szCs w:val="18"/>
              </w:rPr>
            </w:pPr>
            <w:r w:rsidRPr="00FD3C2A">
              <w:rPr>
                <w:b/>
                <w:bCs/>
                <w:sz w:val="18"/>
                <w:szCs w:val="18"/>
              </w:rPr>
              <w:t>1996</w:t>
            </w:r>
          </w:p>
        </w:tc>
        <w:tc>
          <w:tcPr>
            <w:tcW w:w="1848" w:type="dxa"/>
          </w:tcPr>
          <w:p w:rsidR="005D1289" w:rsidRPr="00FD3C2A" w:rsidRDefault="005D1289" w:rsidP="000F1246">
            <w:pPr>
              <w:autoSpaceDE w:val="0"/>
              <w:autoSpaceDN w:val="0"/>
              <w:adjustRightInd w:val="0"/>
              <w:spacing w:after="0" w:line="240" w:lineRule="auto"/>
              <w:jc w:val="both"/>
              <w:rPr>
                <w:b/>
                <w:bCs/>
                <w:sz w:val="18"/>
                <w:szCs w:val="18"/>
              </w:rPr>
            </w:pPr>
            <w:r w:rsidRPr="00FD3C2A">
              <w:rPr>
                <w:b/>
                <w:bCs/>
                <w:sz w:val="18"/>
                <w:szCs w:val="18"/>
              </w:rPr>
              <w:t>2001</w:t>
            </w:r>
          </w:p>
        </w:tc>
        <w:tc>
          <w:tcPr>
            <w:tcW w:w="1849" w:type="dxa"/>
          </w:tcPr>
          <w:p w:rsidR="005D1289" w:rsidRPr="00FD3C2A" w:rsidRDefault="005D1289" w:rsidP="000F1246">
            <w:pPr>
              <w:autoSpaceDE w:val="0"/>
              <w:autoSpaceDN w:val="0"/>
              <w:adjustRightInd w:val="0"/>
              <w:spacing w:after="0" w:line="240" w:lineRule="auto"/>
              <w:jc w:val="both"/>
              <w:rPr>
                <w:b/>
                <w:bCs/>
                <w:sz w:val="18"/>
                <w:szCs w:val="18"/>
              </w:rPr>
            </w:pPr>
            <w:r w:rsidRPr="00FD3C2A">
              <w:rPr>
                <w:b/>
                <w:bCs/>
                <w:sz w:val="18"/>
                <w:szCs w:val="18"/>
              </w:rPr>
              <w:t>2006</w:t>
            </w:r>
          </w:p>
        </w:tc>
        <w:tc>
          <w:tcPr>
            <w:tcW w:w="1849" w:type="dxa"/>
          </w:tcPr>
          <w:p w:rsidR="005D1289" w:rsidRPr="00FD3C2A" w:rsidRDefault="005D1289" w:rsidP="000F1246">
            <w:pPr>
              <w:autoSpaceDE w:val="0"/>
              <w:autoSpaceDN w:val="0"/>
              <w:adjustRightInd w:val="0"/>
              <w:spacing w:after="0" w:line="240" w:lineRule="auto"/>
              <w:jc w:val="both"/>
              <w:rPr>
                <w:b/>
                <w:bCs/>
                <w:sz w:val="18"/>
                <w:szCs w:val="18"/>
              </w:rPr>
            </w:pPr>
            <w:r w:rsidRPr="00FD3C2A">
              <w:rPr>
                <w:b/>
                <w:bCs/>
                <w:sz w:val="18"/>
                <w:szCs w:val="18"/>
              </w:rPr>
              <w:t>Percentage increase from 1996</w:t>
            </w:r>
          </w:p>
        </w:tc>
      </w:tr>
      <w:tr w:rsidR="005D1289" w:rsidRPr="00FD3C2A" w:rsidTr="000F1246">
        <w:tc>
          <w:tcPr>
            <w:tcW w:w="1848"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 xml:space="preserve">Hobart </w:t>
            </w:r>
          </w:p>
        </w:tc>
        <w:tc>
          <w:tcPr>
            <w:tcW w:w="1848"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33 545</w:t>
            </w:r>
          </w:p>
        </w:tc>
        <w:tc>
          <w:tcPr>
            <w:tcW w:w="1848"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34 523</w:t>
            </w:r>
          </w:p>
        </w:tc>
        <w:tc>
          <w:tcPr>
            <w:tcW w:w="1849"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38 071</w:t>
            </w:r>
          </w:p>
        </w:tc>
        <w:tc>
          <w:tcPr>
            <w:tcW w:w="1849"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13.5</w:t>
            </w:r>
          </w:p>
        </w:tc>
      </w:tr>
      <w:tr w:rsidR="005D1289" w:rsidRPr="00FD3C2A" w:rsidTr="000F1246">
        <w:tc>
          <w:tcPr>
            <w:tcW w:w="1848"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 xml:space="preserve">Glenorchy </w:t>
            </w:r>
          </w:p>
        </w:tc>
        <w:tc>
          <w:tcPr>
            <w:tcW w:w="1848"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14 436</w:t>
            </w:r>
          </w:p>
        </w:tc>
        <w:tc>
          <w:tcPr>
            <w:tcW w:w="1848"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14 208</w:t>
            </w:r>
          </w:p>
        </w:tc>
        <w:tc>
          <w:tcPr>
            <w:tcW w:w="1849"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15 159</w:t>
            </w:r>
          </w:p>
        </w:tc>
        <w:tc>
          <w:tcPr>
            <w:tcW w:w="1849"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5.0</w:t>
            </w:r>
          </w:p>
        </w:tc>
      </w:tr>
      <w:tr w:rsidR="005D1289" w:rsidRPr="00FD3C2A" w:rsidTr="000F1246">
        <w:tc>
          <w:tcPr>
            <w:tcW w:w="1848"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 xml:space="preserve">Clarence </w:t>
            </w:r>
          </w:p>
        </w:tc>
        <w:tc>
          <w:tcPr>
            <w:tcW w:w="1848"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7 200</w:t>
            </w:r>
          </w:p>
        </w:tc>
        <w:tc>
          <w:tcPr>
            <w:tcW w:w="1848"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7 928</w:t>
            </w:r>
          </w:p>
        </w:tc>
        <w:tc>
          <w:tcPr>
            <w:tcW w:w="1849"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9 304</w:t>
            </w:r>
          </w:p>
        </w:tc>
        <w:tc>
          <w:tcPr>
            <w:tcW w:w="1849"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29.2</w:t>
            </w:r>
          </w:p>
        </w:tc>
      </w:tr>
      <w:tr w:rsidR="005D1289" w:rsidRPr="00FD3C2A" w:rsidTr="000F1246">
        <w:tc>
          <w:tcPr>
            <w:tcW w:w="1848" w:type="dxa"/>
          </w:tcPr>
          <w:p w:rsidR="005D1289" w:rsidRPr="00FD3C2A" w:rsidRDefault="005D1289" w:rsidP="000F1246">
            <w:pPr>
              <w:autoSpaceDE w:val="0"/>
              <w:autoSpaceDN w:val="0"/>
              <w:adjustRightInd w:val="0"/>
              <w:spacing w:after="0" w:line="240" w:lineRule="auto"/>
              <w:jc w:val="both"/>
              <w:rPr>
                <w:sz w:val="18"/>
                <w:szCs w:val="18"/>
              </w:rPr>
            </w:pPr>
            <w:proofErr w:type="spellStart"/>
            <w:r w:rsidRPr="00FD3C2A">
              <w:rPr>
                <w:sz w:val="18"/>
                <w:szCs w:val="18"/>
              </w:rPr>
              <w:t>Kingborough</w:t>
            </w:r>
            <w:proofErr w:type="spellEnd"/>
            <w:r w:rsidRPr="00FD3C2A">
              <w:rPr>
                <w:sz w:val="18"/>
                <w:szCs w:val="18"/>
              </w:rPr>
              <w:t xml:space="preserve"> </w:t>
            </w:r>
          </w:p>
        </w:tc>
        <w:tc>
          <w:tcPr>
            <w:tcW w:w="1848"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3 620</w:t>
            </w:r>
          </w:p>
        </w:tc>
        <w:tc>
          <w:tcPr>
            <w:tcW w:w="1848"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4 469</w:t>
            </w:r>
          </w:p>
        </w:tc>
        <w:tc>
          <w:tcPr>
            <w:tcW w:w="1849"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5 197</w:t>
            </w:r>
          </w:p>
        </w:tc>
        <w:tc>
          <w:tcPr>
            <w:tcW w:w="1849" w:type="dxa"/>
          </w:tcPr>
          <w:p w:rsidR="005D1289" w:rsidRPr="00FD3C2A" w:rsidRDefault="005D1289" w:rsidP="000F1246">
            <w:pPr>
              <w:autoSpaceDE w:val="0"/>
              <w:autoSpaceDN w:val="0"/>
              <w:adjustRightInd w:val="0"/>
              <w:spacing w:after="0" w:line="240" w:lineRule="auto"/>
              <w:jc w:val="both"/>
              <w:rPr>
                <w:sz w:val="18"/>
                <w:szCs w:val="18"/>
              </w:rPr>
            </w:pPr>
            <w:r w:rsidRPr="00FD3C2A">
              <w:rPr>
                <w:sz w:val="18"/>
                <w:szCs w:val="18"/>
              </w:rPr>
              <w:t>43.5</w:t>
            </w:r>
          </w:p>
        </w:tc>
      </w:tr>
    </w:tbl>
    <w:p w:rsidR="005D1289" w:rsidRPr="006757E4" w:rsidRDefault="005D1289" w:rsidP="005D1289">
      <w:pPr>
        <w:autoSpaceDE w:val="0"/>
        <w:autoSpaceDN w:val="0"/>
        <w:adjustRightInd w:val="0"/>
        <w:spacing w:after="0" w:line="240" w:lineRule="auto"/>
        <w:jc w:val="both"/>
        <w:rPr>
          <w:sz w:val="18"/>
          <w:szCs w:val="18"/>
        </w:rPr>
      </w:pPr>
      <w:r w:rsidRPr="006757E4">
        <w:rPr>
          <w:sz w:val="18"/>
          <w:szCs w:val="18"/>
        </w:rPr>
        <w:t>Source: ABS, 1996, 2001, 2006</w:t>
      </w:r>
    </w:p>
    <w:p w:rsidR="005D1289" w:rsidRDefault="005D1289" w:rsidP="005D1289">
      <w:pPr>
        <w:pStyle w:val="Heading3"/>
      </w:pPr>
      <w:bookmarkStart w:id="36" w:name="_Toc329331945"/>
      <w:r>
        <w:t>Journey to work destinations along the Transit Corridor</w:t>
      </w:r>
      <w:bookmarkEnd w:id="36"/>
    </w:p>
    <w:p w:rsidR="005D1289" w:rsidRPr="000F1246" w:rsidRDefault="005D1289" w:rsidP="005D1289">
      <w:pPr>
        <w:pStyle w:val="Default"/>
        <w:spacing w:after="120"/>
        <w:jc w:val="both"/>
        <w:rPr>
          <w:rFonts w:ascii="Arial" w:hAnsi="Arial" w:cs="Arial"/>
          <w:color w:val="auto"/>
          <w:sz w:val="22"/>
          <w:szCs w:val="22"/>
        </w:rPr>
      </w:pPr>
      <w:r w:rsidRPr="000F1246">
        <w:rPr>
          <w:rFonts w:ascii="Arial" w:hAnsi="Arial" w:cs="Arial"/>
          <w:color w:val="auto"/>
          <w:sz w:val="22"/>
          <w:szCs w:val="22"/>
        </w:rPr>
        <w:t>Employment density is also a key driver of public transport demand, as the location of employment is a major determinant of the direction of and demand for peak travel movements. Increasing employment opportunities within activity centres with strong public transport services will increase public transport patronage.</w:t>
      </w:r>
    </w:p>
    <w:p w:rsidR="005D1289" w:rsidRPr="000F1246" w:rsidRDefault="005D1289" w:rsidP="005D1289">
      <w:pPr>
        <w:pStyle w:val="Default"/>
        <w:spacing w:after="120"/>
        <w:jc w:val="both"/>
        <w:rPr>
          <w:rFonts w:ascii="Arial" w:hAnsi="Arial" w:cs="Arial"/>
          <w:color w:val="auto"/>
          <w:sz w:val="22"/>
          <w:szCs w:val="22"/>
        </w:rPr>
      </w:pPr>
      <w:r w:rsidRPr="000F1246">
        <w:rPr>
          <w:rFonts w:ascii="Arial" w:hAnsi="Arial" w:cs="Arial"/>
          <w:color w:val="auto"/>
          <w:sz w:val="22"/>
          <w:szCs w:val="22"/>
        </w:rPr>
        <w:t>Journey to work data provides an indication of employment numbers along the Transit Corridor. The Transit Corridor contains a number of activity centres and consequently it has a relatively high employment density (total density 42 285 people):</w:t>
      </w:r>
    </w:p>
    <w:p w:rsidR="005D1289" w:rsidRPr="000F1246" w:rsidRDefault="005D1289" w:rsidP="00FC5095">
      <w:pPr>
        <w:pStyle w:val="Default"/>
        <w:numPr>
          <w:ilvl w:val="0"/>
          <w:numId w:val="12"/>
        </w:numPr>
        <w:spacing w:after="120"/>
        <w:jc w:val="both"/>
        <w:rPr>
          <w:rFonts w:ascii="Arial" w:hAnsi="Arial" w:cs="Arial"/>
          <w:color w:val="auto"/>
          <w:sz w:val="22"/>
          <w:szCs w:val="22"/>
        </w:rPr>
      </w:pPr>
      <w:r w:rsidRPr="000F1246">
        <w:rPr>
          <w:rFonts w:ascii="Arial" w:hAnsi="Arial" w:cs="Arial"/>
          <w:color w:val="auto"/>
          <w:sz w:val="22"/>
          <w:szCs w:val="22"/>
        </w:rPr>
        <w:t xml:space="preserve">Hobart </w:t>
      </w:r>
      <w:proofErr w:type="spellStart"/>
      <w:r w:rsidRPr="000F1246">
        <w:rPr>
          <w:rFonts w:ascii="Arial" w:hAnsi="Arial" w:cs="Arial"/>
          <w:color w:val="auto"/>
          <w:sz w:val="22"/>
          <w:szCs w:val="22"/>
        </w:rPr>
        <w:t>CBD</w:t>
      </w:r>
      <w:proofErr w:type="spellEnd"/>
      <w:r w:rsidRPr="000F1246">
        <w:rPr>
          <w:rFonts w:ascii="Arial" w:hAnsi="Arial" w:cs="Arial"/>
          <w:color w:val="auto"/>
          <w:sz w:val="22"/>
          <w:szCs w:val="22"/>
        </w:rPr>
        <w:t xml:space="preserve"> (including Battery Point): 26 127 people. </w:t>
      </w:r>
    </w:p>
    <w:p w:rsidR="005D1289" w:rsidRPr="000F1246" w:rsidRDefault="005D1289" w:rsidP="00FC5095">
      <w:pPr>
        <w:pStyle w:val="Default"/>
        <w:numPr>
          <w:ilvl w:val="0"/>
          <w:numId w:val="12"/>
        </w:numPr>
        <w:spacing w:after="120"/>
        <w:jc w:val="both"/>
        <w:rPr>
          <w:rFonts w:ascii="Arial" w:hAnsi="Arial" w:cs="Arial"/>
          <w:color w:val="auto"/>
          <w:sz w:val="22"/>
          <w:szCs w:val="22"/>
        </w:rPr>
      </w:pPr>
      <w:r w:rsidRPr="000F1246">
        <w:rPr>
          <w:rFonts w:ascii="Arial" w:hAnsi="Arial" w:cs="Arial"/>
          <w:color w:val="auto"/>
          <w:sz w:val="22"/>
          <w:szCs w:val="22"/>
        </w:rPr>
        <w:t xml:space="preserve">Glenorchy, Derwent Park and Moonah: 10 652 people. </w:t>
      </w:r>
    </w:p>
    <w:p w:rsidR="005D1289" w:rsidRPr="000F1246" w:rsidRDefault="005D1289" w:rsidP="00FC5095">
      <w:pPr>
        <w:pStyle w:val="Default"/>
        <w:numPr>
          <w:ilvl w:val="0"/>
          <w:numId w:val="12"/>
        </w:numPr>
        <w:spacing w:after="120"/>
        <w:jc w:val="both"/>
        <w:rPr>
          <w:rFonts w:ascii="Arial" w:hAnsi="Arial" w:cs="Arial"/>
          <w:color w:val="auto"/>
          <w:sz w:val="22"/>
          <w:szCs w:val="22"/>
        </w:rPr>
      </w:pPr>
      <w:r w:rsidRPr="000F1246">
        <w:rPr>
          <w:rFonts w:ascii="Arial" w:hAnsi="Arial" w:cs="Arial"/>
          <w:color w:val="auto"/>
          <w:sz w:val="22"/>
          <w:szCs w:val="22"/>
        </w:rPr>
        <w:t>New Town, Mount Stuart and North Hobart: 5 506 people (ABS 2006).</w:t>
      </w:r>
    </w:p>
    <w:p w:rsidR="005D1289" w:rsidRDefault="005D1289" w:rsidP="005D1289">
      <w:pPr>
        <w:rPr>
          <w:b/>
          <w:bCs/>
          <w:color w:val="4F81BD"/>
          <w:sz w:val="18"/>
          <w:szCs w:val="18"/>
        </w:rPr>
        <w:sectPr w:rsidR="005D1289" w:rsidSect="0081590E">
          <w:pgSz w:w="11906" w:h="16838"/>
          <w:pgMar w:top="1440" w:right="1440" w:bottom="1440" w:left="1440" w:header="708" w:footer="708" w:gutter="0"/>
          <w:cols w:space="708"/>
          <w:docGrid w:linePitch="360"/>
        </w:sectPr>
      </w:pPr>
    </w:p>
    <w:p w:rsidR="005D1289" w:rsidRDefault="005D1289" w:rsidP="005D1289">
      <w:pPr>
        <w:rPr>
          <w:b/>
          <w:bCs/>
          <w:color w:val="4F81BD"/>
          <w:sz w:val="18"/>
          <w:szCs w:val="18"/>
        </w:rPr>
      </w:pPr>
    </w:p>
    <w:p w:rsidR="005D1289" w:rsidRDefault="005D1289" w:rsidP="005D1289">
      <w:pPr>
        <w:pStyle w:val="Caption"/>
      </w:pPr>
      <w:r>
        <w:t xml:space="preserve">Figure </w:t>
      </w:r>
      <w:fldSimple w:instr=" SEQ Figure \* ARABIC ">
        <w:r w:rsidR="00361A55">
          <w:rPr>
            <w:noProof/>
          </w:rPr>
          <w:t>8</w:t>
        </w:r>
      </w:fldSimple>
      <w:r>
        <w:t xml:space="preserve"> Employment density </w:t>
      </w:r>
    </w:p>
    <w:p w:rsidR="005D1289" w:rsidRDefault="005D1289" w:rsidP="005D1289">
      <w:pPr>
        <w:spacing w:after="120"/>
        <w:rPr>
          <w:noProof/>
          <w:lang w:eastAsia="en-AU"/>
        </w:rPr>
      </w:pPr>
      <w:r>
        <w:rPr>
          <w:noProof/>
          <w:lang w:eastAsia="en-AU"/>
        </w:rPr>
        <w:drawing>
          <wp:inline distT="0" distB="0" distL="0" distR="0">
            <wp:extent cx="5734050" cy="8096250"/>
            <wp:effectExtent l="19050" t="0" r="0" b="0"/>
            <wp:docPr id="3" name="Picture 11" descr="Transit Corridors_base map_JTW queries_employ d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it Corridors_base map_JTW queries_employ density.jpg"/>
                    <pic:cNvPicPr>
                      <a:picLocks noChangeAspect="1" noChangeArrowheads="1"/>
                    </pic:cNvPicPr>
                  </pic:nvPicPr>
                  <pic:blipFill>
                    <a:blip r:embed="rId11" cstate="print"/>
                    <a:srcRect/>
                    <a:stretch>
                      <a:fillRect/>
                    </a:stretch>
                  </pic:blipFill>
                  <pic:spPr bwMode="auto">
                    <a:xfrm>
                      <a:off x="0" y="0"/>
                      <a:ext cx="5734050" cy="8096250"/>
                    </a:xfrm>
                    <a:prstGeom prst="rect">
                      <a:avLst/>
                    </a:prstGeom>
                    <a:noFill/>
                    <a:ln w="9525">
                      <a:noFill/>
                      <a:miter lim="800000"/>
                      <a:headEnd/>
                      <a:tailEnd/>
                    </a:ln>
                  </pic:spPr>
                </pic:pic>
              </a:graphicData>
            </a:graphic>
          </wp:inline>
        </w:drawing>
      </w:r>
      <w:r w:rsidR="00637FD9" w:rsidRPr="00637FD9">
        <w:rPr>
          <w:noProof/>
          <w:lang w:val="en-US"/>
        </w:rPr>
        <w:pict>
          <v:shape id="_x0000_s1040" type="#_x0000_t202" style="position:absolute;margin-left:26.3pt;margin-top:593.15pt;width:302.95pt;height:24.75pt;z-index:251691008;mso-position-horizontal-relative:text;mso-position-vertical-relative:text" stroked="f">
            <v:textbox style="mso-next-textbox:#_x0000_s1040">
              <w:txbxContent>
                <w:p w:rsidR="00935B0B" w:rsidRDefault="00935B0B" w:rsidP="005D1289">
                  <w:pPr>
                    <w:autoSpaceDE w:val="0"/>
                    <w:autoSpaceDN w:val="0"/>
                    <w:adjustRightInd w:val="0"/>
                    <w:spacing w:after="0" w:line="240" w:lineRule="auto"/>
                    <w:jc w:val="both"/>
                    <w:rPr>
                      <w:sz w:val="18"/>
                      <w:szCs w:val="18"/>
                    </w:rPr>
                  </w:pPr>
                  <w:r w:rsidRPr="008847AF">
                    <w:rPr>
                      <w:sz w:val="18"/>
                      <w:szCs w:val="18"/>
                    </w:rPr>
                    <w:t xml:space="preserve">Source: </w:t>
                  </w:r>
                  <w:r>
                    <w:rPr>
                      <w:sz w:val="18"/>
                      <w:szCs w:val="18"/>
                    </w:rPr>
                    <w:t>ABS 2006.</w:t>
                  </w:r>
                </w:p>
                <w:p w:rsidR="00935B0B" w:rsidRDefault="00935B0B" w:rsidP="005D1289"/>
              </w:txbxContent>
            </v:textbox>
          </v:shape>
        </w:pict>
      </w:r>
    </w:p>
    <w:p w:rsidR="005D1289" w:rsidRPr="00E5224F" w:rsidRDefault="005D1289" w:rsidP="005D1289">
      <w:pPr>
        <w:spacing w:after="120" w:line="240" w:lineRule="auto"/>
        <w:jc w:val="both"/>
      </w:pPr>
      <w:r w:rsidRPr="000B7724">
        <w:lastRenderedPageBreak/>
        <w:t xml:space="preserve">When journey to work data is analysed in further detail, 35 percent of people working in the Hobart </w:t>
      </w:r>
      <w:proofErr w:type="spellStart"/>
      <w:r w:rsidRPr="000B7724">
        <w:t>CBD</w:t>
      </w:r>
      <w:proofErr w:type="spellEnd"/>
      <w:r w:rsidRPr="000B7724">
        <w:t xml:space="preserve"> could use </w:t>
      </w:r>
      <w:r>
        <w:t>public transport along the</w:t>
      </w:r>
      <w:r w:rsidRPr="000B7724">
        <w:t xml:space="preserve"> Transit Corridor</w:t>
      </w:r>
      <w:r>
        <w:t xml:space="preserve"> as they </w:t>
      </w:r>
      <w:r w:rsidRPr="000B7724">
        <w:t xml:space="preserve">either live </w:t>
      </w:r>
      <w:r>
        <w:t xml:space="preserve">in a suburb </w:t>
      </w:r>
      <w:r w:rsidRPr="000B7724">
        <w:t xml:space="preserve">adjacent to the Transit Corridor or live north of the Corridor in suburbs such as </w:t>
      </w:r>
      <w:proofErr w:type="spellStart"/>
      <w:r w:rsidRPr="000B7724">
        <w:t>Austins</w:t>
      </w:r>
      <w:proofErr w:type="spellEnd"/>
      <w:r w:rsidRPr="000B7724">
        <w:t xml:space="preserve"> Ferry or Claremont.</w:t>
      </w:r>
    </w:p>
    <w:p w:rsidR="005D1289" w:rsidRPr="000F1246" w:rsidRDefault="005D1289" w:rsidP="005D1289">
      <w:pPr>
        <w:pStyle w:val="Default"/>
        <w:spacing w:after="120"/>
        <w:jc w:val="both"/>
        <w:rPr>
          <w:rFonts w:ascii="Arial" w:hAnsi="Arial" w:cs="Arial"/>
          <w:color w:val="auto"/>
          <w:sz w:val="22"/>
          <w:szCs w:val="22"/>
        </w:rPr>
      </w:pPr>
      <w:r w:rsidRPr="000F1246">
        <w:rPr>
          <w:rFonts w:ascii="Arial" w:hAnsi="Arial" w:cs="Arial"/>
          <w:color w:val="auto"/>
          <w:sz w:val="22"/>
          <w:szCs w:val="22"/>
        </w:rPr>
        <w:t xml:space="preserve">For people working in Glenorchy, Moonah or Derwent Park, 48 percent of people could use public transport along the Transit Corridor in their journey to work. </w:t>
      </w:r>
    </w:p>
    <w:p w:rsidR="005D1289" w:rsidRPr="002C235D" w:rsidRDefault="005D1289" w:rsidP="005D1289">
      <w:pPr>
        <w:pStyle w:val="Heading3"/>
      </w:pPr>
      <w:bookmarkStart w:id="37" w:name="_Toc329331946"/>
      <w:r>
        <w:t>Modal share along the Transit Corridor</w:t>
      </w:r>
      <w:bookmarkEnd w:id="37"/>
    </w:p>
    <w:p w:rsidR="005D1289" w:rsidRDefault="005D1289" w:rsidP="005D1289">
      <w:pPr>
        <w:spacing w:after="120" w:line="240" w:lineRule="auto"/>
        <w:jc w:val="both"/>
      </w:pPr>
      <w:r>
        <w:t xml:space="preserve">Car-based travel dominates journey to work trips to key destinations along the Transit Corridor. Walking has the second highest mode share to key destinations along the Transit Corridor, this is because approximately 40 percent of the population in Hobart and Glenorchy live and work locally, making walking a viable transport option. </w:t>
      </w:r>
    </w:p>
    <w:p w:rsidR="005D1289" w:rsidRDefault="005D1289" w:rsidP="005D1289">
      <w:pPr>
        <w:spacing w:after="120" w:line="240" w:lineRule="auto"/>
        <w:jc w:val="both"/>
      </w:pPr>
      <w:r>
        <w:t xml:space="preserve">A greater proportion of people travelling to the Hobart </w:t>
      </w:r>
      <w:proofErr w:type="spellStart"/>
      <w:r>
        <w:t>CBD</w:t>
      </w:r>
      <w:proofErr w:type="spellEnd"/>
      <w:r w:rsidRPr="00DF0DB7">
        <w:t xml:space="preserve"> </w:t>
      </w:r>
      <w:r>
        <w:t>in the journey to work, use public transport than those employed within Glenorchy, Derwent Park and Moonah suburbs.</w:t>
      </w:r>
    </w:p>
    <w:p w:rsidR="005D1289" w:rsidRDefault="005D1289" w:rsidP="005D1289">
      <w:pPr>
        <w:pStyle w:val="Caption"/>
        <w:rPr>
          <w:color w:val="auto"/>
          <w:sz w:val="22"/>
          <w:szCs w:val="22"/>
        </w:rPr>
      </w:pPr>
      <w:r>
        <w:t xml:space="preserve">Figure </w:t>
      </w:r>
      <w:fldSimple w:instr=" SEQ Figure \* ARABIC ">
        <w:r w:rsidR="00361A55">
          <w:rPr>
            <w:noProof/>
          </w:rPr>
          <w:t>9</w:t>
        </w:r>
      </w:fldSimple>
      <w:r>
        <w:t xml:space="preserve"> Journey to work destinations by mode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4"/>
        <w:gridCol w:w="1777"/>
        <w:gridCol w:w="1866"/>
        <w:gridCol w:w="1836"/>
        <w:gridCol w:w="1779"/>
      </w:tblGrid>
      <w:tr w:rsidR="005D1289" w:rsidRPr="00FD3C2A" w:rsidTr="000F1246">
        <w:tc>
          <w:tcPr>
            <w:tcW w:w="1984" w:type="dxa"/>
          </w:tcPr>
          <w:p w:rsidR="005D1289" w:rsidRPr="00FD3C2A" w:rsidRDefault="005D1289" w:rsidP="000F1246">
            <w:pPr>
              <w:spacing w:after="0" w:line="240" w:lineRule="auto"/>
              <w:rPr>
                <w:b/>
                <w:bCs/>
                <w:sz w:val="18"/>
                <w:szCs w:val="18"/>
              </w:rPr>
            </w:pPr>
            <w:r w:rsidRPr="00FD3C2A">
              <w:rPr>
                <w:b/>
                <w:bCs/>
                <w:sz w:val="18"/>
                <w:szCs w:val="18"/>
              </w:rPr>
              <w:t>Journey to work destination</w:t>
            </w:r>
          </w:p>
        </w:tc>
        <w:tc>
          <w:tcPr>
            <w:tcW w:w="1777" w:type="dxa"/>
          </w:tcPr>
          <w:p w:rsidR="005D1289" w:rsidRPr="00FD3C2A" w:rsidRDefault="005D1289" w:rsidP="000F1246">
            <w:pPr>
              <w:spacing w:after="0" w:line="240" w:lineRule="auto"/>
              <w:rPr>
                <w:b/>
                <w:bCs/>
                <w:sz w:val="18"/>
                <w:szCs w:val="18"/>
              </w:rPr>
            </w:pPr>
            <w:r w:rsidRPr="00FD3C2A">
              <w:rPr>
                <w:b/>
                <w:bCs/>
                <w:sz w:val="18"/>
                <w:szCs w:val="18"/>
              </w:rPr>
              <w:t>Modal share by bus %</w:t>
            </w:r>
          </w:p>
        </w:tc>
        <w:tc>
          <w:tcPr>
            <w:tcW w:w="1866" w:type="dxa"/>
          </w:tcPr>
          <w:p w:rsidR="005D1289" w:rsidRPr="00FD3C2A" w:rsidRDefault="005D1289" w:rsidP="000F1246">
            <w:pPr>
              <w:spacing w:after="0" w:line="240" w:lineRule="auto"/>
              <w:rPr>
                <w:b/>
                <w:bCs/>
                <w:sz w:val="18"/>
                <w:szCs w:val="18"/>
              </w:rPr>
            </w:pPr>
            <w:r w:rsidRPr="00FD3C2A">
              <w:rPr>
                <w:b/>
                <w:bCs/>
                <w:sz w:val="18"/>
                <w:szCs w:val="18"/>
              </w:rPr>
              <w:t>Number of bus passengers</w:t>
            </w:r>
          </w:p>
        </w:tc>
        <w:tc>
          <w:tcPr>
            <w:tcW w:w="1836" w:type="dxa"/>
          </w:tcPr>
          <w:p w:rsidR="005D1289" w:rsidRPr="00FD3C2A" w:rsidRDefault="005D1289" w:rsidP="000F1246">
            <w:pPr>
              <w:spacing w:after="0" w:line="240" w:lineRule="auto"/>
              <w:rPr>
                <w:b/>
                <w:bCs/>
                <w:sz w:val="18"/>
                <w:szCs w:val="18"/>
              </w:rPr>
            </w:pPr>
            <w:r w:rsidRPr="00FD3C2A">
              <w:rPr>
                <w:b/>
                <w:bCs/>
                <w:sz w:val="18"/>
                <w:szCs w:val="18"/>
              </w:rPr>
              <w:t>Modal share by walking  %</w:t>
            </w:r>
          </w:p>
        </w:tc>
        <w:tc>
          <w:tcPr>
            <w:tcW w:w="1779" w:type="dxa"/>
          </w:tcPr>
          <w:p w:rsidR="005D1289" w:rsidRPr="00FD3C2A" w:rsidRDefault="005D1289" w:rsidP="000F1246">
            <w:pPr>
              <w:spacing w:after="0" w:line="240" w:lineRule="auto"/>
              <w:rPr>
                <w:b/>
                <w:bCs/>
                <w:sz w:val="18"/>
                <w:szCs w:val="18"/>
              </w:rPr>
            </w:pPr>
            <w:r w:rsidRPr="00FD3C2A">
              <w:rPr>
                <w:b/>
                <w:bCs/>
                <w:sz w:val="18"/>
                <w:szCs w:val="18"/>
              </w:rPr>
              <w:t>Number of people walking</w:t>
            </w:r>
          </w:p>
        </w:tc>
      </w:tr>
      <w:tr w:rsidR="005D1289" w:rsidRPr="00FD3C2A" w:rsidTr="000F1246">
        <w:tc>
          <w:tcPr>
            <w:tcW w:w="1984" w:type="dxa"/>
          </w:tcPr>
          <w:p w:rsidR="005D1289" w:rsidRPr="00FD3C2A" w:rsidRDefault="005D1289" w:rsidP="000F1246">
            <w:pPr>
              <w:spacing w:after="0" w:line="240" w:lineRule="auto"/>
              <w:rPr>
                <w:sz w:val="18"/>
                <w:szCs w:val="18"/>
              </w:rPr>
            </w:pPr>
            <w:r w:rsidRPr="00FD3C2A">
              <w:rPr>
                <w:sz w:val="18"/>
                <w:szCs w:val="18"/>
              </w:rPr>
              <w:t xml:space="preserve">Hobart </w:t>
            </w:r>
            <w:proofErr w:type="spellStart"/>
            <w:r w:rsidRPr="00FD3C2A">
              <w:rPr>
                <w:sz w:val="18"/>
                <w:szCs w:val="18"/>
              </w:rPr>
              <w:t>CBD</w:t>
            </w:r>
            <w:proofErr w:type="spellEnd"/>
            <w:r w:rsidRPr="00FD3C2A">
              <w:rPr>
                <w:sz w:val="18"/>
                <w:szCs w:val="18"/>
              </w:rPr>
              <w:t xml:space="preserve"> (includes Battery Point)</w:t>
            </w:r>
          </w:p>
        </w:tc>
        <w:tc>
          <w:tcPr>
            <w:tcW w:w="1777" w:type="dxa"/>
          </w:tcPr>
          <w:p w:rsidR="005D1289" w:rsidRPr="00FD3C2A" w:rsidRDefault="005D1289" w:rsidP="000F1246">
            <w:pPr>
              <w:spacing w:after="0" w:line="240" w:lineRule="auto"/>
              <w:rPr>
                <w:sz w:val="18"/>
                <w:szCs w:val="18"/>
              </w:rPr>
            </w:pPr>
            <w:r w:rsidRPr="00FD3C2A">
              <w:rPr>
                <w:sz w:val="18"/>
                <w:szCs w:val="18"/>
              </w:rPr>
              <w:t>10.4</w:t>
            </w:r>
          </w:p>
        </w:tc>
        <w:tc>
          <w:tcPr>
            <w:tcW w:w="1866" w:type="dxa"/>
          </w:tcPr>
          <w:p w:rsidR="005D1289" w:rsidRPr="00FD3C2A" w:rsidRDefault="005D1289" w:rsidP="000F1246">
            <w:pPr>
              <w:spacing w:after="0" w:line="240" w:lineRule="auto"/>
              <w:rPr>
                <w:sz w:val="18"/>
                <w:szCs w:val="18"/>
              </w:rPr>
            </w:pPr>
            <w:r w:rsidRPr="00FD3C2A">
              <w:rPr>
                <w:sz w:val="18"/>
                <w:szCs w:val="18"/>
              </w:rPr>
              <w:t>2714</w:t>
            </w:r>
          </w:p>
        </w:tc>
        <w:tc>
          <w:tcPr>
            <w:tcW w:w="1836" w:type="dxa"/>
          </w:tcPr>
          <w:p w:rsidR="005D1289" w:rsidRPr="00FD3C2A" w:rsidRDefault="005D1289" w:rsidP="000F1246">
            <w:pPr>
              <w:spacing w:after="0" w:line="240" w:lineRule="auto"/>
              <w:rPr>
                <w:sz w:val="18"/>
                <w:szCs w:val="18"/>
              </w:rPr>
            </w:pPr>
            <w:r w:rsidRPr="00FD3C2A">
              <w:rPr>
                <w:sz w:val="18"/>
                <w:szCs w:val="18"/>
              </w:rPr>
              <w:t>11.32</w:t>
            </w:r>
          </w:p>
        </w:tc>
        <w:tc>
          <w:tcPr>
            <w:tcW w:w="1779" w:type="dxa"/>
          </w:tcPr>
          <w:p w:rsidR="005D1289" w:rsidRPr="00FD3C2A" w:rsidRDefault="005D1289" w:rsidP="000F1246">
            <w:pPr>
              <w:spacing w:after="0" w:line="240" w:lineRule="auto"/>
              <w:rPr>
                <w:sz w:val="18"/>
                <w:szCs w:val="18"/>
              </w:rPr>
            </w:pPr>
            <w:r w:rsidRPr="00FD3C2A">
              <w:rPr>
                <w:sz w:val="18"/>
                <w:szCs w:val="18"/>
              </w:rPr>
              <w:t>2958</w:t>
            </w:r>
          </w:p>
        </w:tc>
      </w:tr>
      <w:tr w:rsidR="005D1289" w:rsidRPr="00FD3C2A" w:rsidTr="000F1246">
        <w:tc>
          <w:tcPr>
            <w:tcW w:w="1984" w:type="dxa"/>
          </w:tcPr>
          <w:p w:rsidR="005D1289" w:rsidRPr="00FD3C2A" w:rsidRDefault="005D1289" w:rsidP="000F1246">
            <w:pPr>
              <w:spacing w:after="0" w:line="240" w:lineRule="auto"/>
              <w:rPr>
                <w:sz w:val="18"/>
                <w:szCs w:val="18"/>
              </w:rPr>
            </w:pPr>
            <w:r w:rsidRPr="00FD3C2A">
              <w:rPr>
                <w:sz w:val="18"/>
                <w:szCs w:val="18"/>
              </w:rPr>
              <w:t>Glenorchy, Derwent Park and Moonah Suburbs</w:t>
            </w:r>
          </w:p>
        </w:tc>
        <w:tc>
          <w:tcPr>
            <w:tcW w:w="1777" w:type="dxa"/>
          </w:tcPr>
          <w:p w:rsidR="005D1289" w:rsidRPr="00FD3C2A" w:rsidRDefault="005D1289" w:rsidP="000F1246">
            <w:pPr>
              <w:spacing w:after="0" w:line="240" w:lineRule="auto"/>
              <w:rPr>
                <w:sz w:val="18"/>
                <w:szCs w:val="18"/>
              </w:rPr>
            </w:pPr>
            <w:r w:rsidRPr="00FD3C2A">
              <w:rPr>
                <w:sz w:val="18"/>
                <w:szCs w:val="18"/>
              </w:rPr>
              <w:t>6.2</w:t>
            </w:r>
          </w:p>
        </w:tc>
        <w:tc>
          <w:tcPr>
            <w:tcW w:w="1866" w:type="dxa"/>
          </w:tcPr>
          <w:p w:rsidR="005D1289" w:rsidRPr="00FD3C2A" w:rsidRDefault="005D1289" w:rsidP="000F1246">
            <w:pPr>
              <w:spacing w:after="0" w:line="240" w:lineRule="auto"/>
              <w:rPr>
                <w:sz w:val="18"/>
                <w:szCs w:val="18"/>
              </w:rPr>
            </w:pPr>
            <w:r w:rsidRPr="00FD3C2A">
              <w:rPr>
                <w:sz w:val="18"/>
                <w:szCs w:val="18"/>
              </w:rPr>
              <w:t>344</w:t>
            </w:r>
          </w:p>
        </w:tc>
        <w:tc>
          <w:tcPr>
            <w:tcW w:w="1836" w:type="dxa"/>
          </w:tcPr>
          <w:p w:rsidR="005D1289" w:rsidRPr="00FD3C2A" w:rsidRDefault="005D1289" w:rsidP="000F1246">
            <w:pPr>
              <w:spacing w:after="0" w:line="240" w:lineRule="auto"/>
              <w:rPr>
                <w:sz w:val="18"/>
                <w:szCs w:val="18"/>
              </w:rPr>
            </w:pPr>
            <w:r w:rsidRPr="00FD3C2A">
              <w:rPr>
                <w:sz w:val="18"/>
                <w:szCs w:val="18"/>
              </w:rPr>
              <w:t>7.3</w:t>
            </w:r>
          </w:p>
        </w:tc>
        <w:tc>
          <w:tcPr>
            <w:tcW w:w="1779" w:type="dxa"/>
          </w:tcPr>
          <w:p w:rsidR="005D1289" w:rsidRPr="00FD3C2A" w:rsidRDefault="005D1289" w:rsidP="000F1246">
            <w:pPr>
              <w:spacing w:after="0" w:line="240" w:lineRule="auto"/>
              <w:rPr>
                <w:sz w:val="18"/>
                <w:szCs w:val="18"/>
              </w:rPr>
            </w:pPr>
            <w:r w:rsidRPr="00FD3C2A">
              <w:rPr>
                <w:sz w:val="18"/>
                <w:szCs w:val="18"/>
              </w:rPr>
              <w:t>404</w:t>
            </w:r>
          </w:p>
        </w:tc>
      </w:tr>
    </w:tbl>
    <w:p w:rsidR="005D1289" w:rsidRDefault="005D1289" w:rsidP="005D1289">
      <w:pPr>
        <w:rPr>
          <w:sz w:val="18"/>
          <w:szCs w:val="18"/>
        </w:rPr>
      </w:pPr>
      <w:r w:rsidRPr="004B5ECC">
        <w:rPr>
          <w:sz w:val="18"/>
          <w:szCs w:val="18"/>
        </w:rPr>
        <w:t>Source: ABS 2006</w:t>
      </w:r>
      <w:r>
        <w:rPr>
          <w:sz w:val="18"/>
          <w:szCs w:val="18"/>
        </w:rPr>
        <w:t>.</w:t>
      </w:r>
    </w:p>
    <w:p w:rsidR="005D1289" w:rsidRPr="005337E4" w:rsidRDefault="005D1289" w:rsidP="005D1289">
      <w:pPr>
        <w:spacing w:after="120" w:line="240" w:lineRule="auto"/>
        <w:jc w:val="both"/>
      </w:pPr>
      <w:r w:rsidRPr="005337E4">
        <w:t xml:space="preserve">Suburbs close to Hobart </w:t>
      </w:r>
      <w:proofErr w:type="spellStart"/>
      <w:r w:rsidRPr="005337E4">
        <w:t>CBD</w:t>
      </w:r>
      <w:proofErr w:type="spellEnd"/>
      <w:r w:rsidRPr="005337E4">
        <w:t xml:space="preserve"> have a greater proportion of people walking to work:</w:t>
      </w:r>
    </w:p>
    <w:p w:rsidR="005D1289" w:rsidRPr="005337E4" w:rsidRDefault="005D1289" w:rsidP="00FC5095">
      <w:pPr>
        <w:pStyle w:val="ListParagraph"/>
        <w:numPr>
          <w:ilvl w:val="0"/>
          <w:numId w:val="13"/>
        </w:numPr>
        <w:spacing w:after="120" w:line="240" w:lineRule="auto"/>
        <w:contextualSpacing w:val="0"/>
        <w:jc w:val="both"/>
      </w:pPr>
      <w:r w:rsidRPr="005337E4">
        <w:t xml:space="preserve">Hobart </w:t>
      </w:r>
      <w:proofErr w:type="spellStart"/>
      <w:r w:rsidRPr="005337E4">
        <w:t>CBD</w:t>
      </w:r>
      <w:proofErr w:type="spellEnd"/>
      <w:r w:rsidRPr="005337E4">
        <w:t>: 53 percent.</w:t>
      </w:r>
    </w:p>
    <w:p w:rsidR="005D1289" w:rsidRPr="005337E4" w:rsidRDefault="005D1289" w:rsidP="00FC5095">
      <w:pPr>
        <w:pStyle w:val="ListParagraph"/>
        <w:numPr>
          <w:ilvl w:val="0"/>
          <w:numId w:val="13"/>
        </w:numPr>
        <w:spacing w:after="120" w:line="240" w:lineRule="auto"/>
        <w:contextualSpacing w:val="0"/>
        <w:jc w:val="both"/>
      </w:pPr>
      <w:r w:rsidRPr="005337E4">
        <w:t xml:space="preserve">North Hobart: 37 percent </w:t>
      </w:r>
    </w:p>
    <w:p w:rsidR="005D1289" w:rsidRPr="005337E4" w:rsidRDefault="005D1289" w:rsidP="00FC5095">
      <w:pPr>
        <w:pStyle w:val="ListParagraph"/>
        <w:numPr>
          <w:ilvl w:val="0"/>
          <w:numId w:val="13"/>
        </w:numPr>
        <w:spacing w:after="120" w:line="240" w:lineRule="auto"/>
        <w:contextualSpacing w:val="0"/>
        <w:jc w:val="both"/>
      </w:pPr>
      <w:r w:rsidRPr="005337E4">
        <w:t xml:space="preserve">West Hobart: 32 percent. </w:t>
      </w:r>
    </w:p>
    <w:p w:rsidR="005D1289" w:rsidRPr="005337E4" w:rsidRDefault="005D1289" w:rsidP="005D1289">
      <w:pPr>
        <w:spacing w:after="120" w:line="240" w:lineRule="auto"/>
        <w:jc w:val="both"/>
      </w:pPr>
      <w:r w:rsidRPr="005337E4">
        <w:t xml:space="preserve">New Town has the highest proportion of people catching a </w:t>
      </w:r>
      <w:bookmarkStart w:id="38" w:name="OLE_LINK10"/>
      <w:bookmarkStart w:id="39" w:name="OLE_LINK11"/>
      <w:r w:rsidRPr="005337E4">
        <w:t>bus at 9.3 percent</w:t>
      </w:r>
      <w:r>
        <w:t>,</w:t>
      </w:r>
      <w:r w:rsidRPr="005337E4">
        <w:t xml:space="preserve"> followed by West Moonah at 8.5 percent and Moonah at 8 percent. These </w:t>
      </w:r>
      <w:r>
        <w:t>suburbs are considered beyond a generally</w:t>
      </w:r>
      <w:r w:rsidRPr="005337E4">
        <w:t xml:space="preserve"> acceptable walking distance to the Hobart </w:t>
      </w:r>
      <w:proofErr w:type="spellStart"/>
      <w:r w:rsidRPr="005337E4">
        <w:t>CBD</w:t>
      </w:r>
      <w:proofErr w:type="spellEnd"/>
      <w:r w:rsidRPr="005337E4">
        <w:t>.</w:t>
      </w:r>
      <w:bookmarkEnd w:id="38"/>
      <w:bookmarkEnd w:id="39"/>
    </w:p>
    <w:p w:rsidR="005D1289" w:rsidRPr="005337E4" w:rsidRDefault="005D1289" w:rsidP="005D1289">
      <w:pPr>
        <w:spacing w:after="120" w:line="240" w:lineRule="auto"/>
        <w:jc w:val="both"/>
      </w:pPr>
      <w:r w:rsidRPr="005337E4">
        <w:t xml:space="preserve">The results show that if people are living in inner suburbs they are more likely to use walking or a bus to get to work. Therefore densification of inner suburbs </w:t>
      </w:r>
      <w:r>
        <w:t>should</w:t>
      </w:r>
      <w:r w:rsidRPr="005337E4">
        <w:t xml:space="preserve"> lead to increased public transport use and utilisation of more sustainable transport options</w:t>
      </w:r>
      <w:r>
        <w:t>,</w:t>
      </w:r>
      <w:r w:rsidRPr="005337E4">
        <w:t xml:space="preserve"> such as walking and cycling.</w:t>
      </w:r>
    </w:p>
    <w:p w:rsidR="005D1289" w:rsidRDefault="005D1289" w:rsidP="005D1289">
      <w:pPr>
        <w:pStyle w:val="Caption"/>
      </w:pPr>
      <w:r w:rsidRPr="005337E4">
        <w:t xml:space="preserve">Figure </w:t>
      </w:r>
      <w:fldSimple w:instr=" SEQ Figure \* ARABIC ">
        <w:r w:rsidR="00361A55">
          <w:rPr>
            <w:noProof/>
          </w:rPr>
          <w:t>10</w:t>
        </w:r>
      </w:fldSimple>
      <w:r w:rsidRPr="005337E4">
        <w:t xml:space="preserve"> Mode share along Transit Corridor by suburb</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8"/>
        <w:gridCol w:w="1848"/>
        <w:gridCol w:w="1848"/>
        <w:gridCol w:w="1849"/>
        <w:gridCol w:w="1849"/>
      </w:tblGrid>
      <w:tr w:rsidR="005D1289" w:rsidRPr="00FD3C2A" w:rsidTr="000F1246">
        <w:tc>
          <w:tcPr>
            <w:tcW w:w="1848" w:type="dxa"/>
          </w:tcPr>
          <w:p w:rsidR="005D1289" w:rsidRPr="00FD3C2A" w:rsidRDefault="005D1289" w:rsidP="000F1246">
            <w:pPr>
              <w:spacing w:after="0" w:line="240" w:lineRule="auto"/>
              <w:rPr>
                <w:b/>
                <w:bCs/>
                <w:sz w:val="18"/>
                <w:szCs w:val="18"/>
              </w:rPr>
            </w:pPr>
            <w:r w:rsidRPr="00FD3C2A">
              <w:rPr>
                <w:b/>
                <w:bCs/>
                <w:sz w:val="18"/>
                <w:szCs w:val="18"/>
              </w:rPr>
              <w:t>Origin</w:t>
            </w:r>
          </w:p>
        </w:tc>
        <w:tc>
          <w:tcPr>
            <w:tcW w:w="1848" w:type="dxa"/>
          </w:tcPr>
          <w:p w:rsidR="005D1289" w:rsidRPr="00FD3C2A" w:rsidRDefault="005D1289" w:rsidP="000F1246">
            <w:pPr>
              <w:spacing w:after="0" w:line="240" w:lineRule="auto"/>
              <w:rPr>
                <w:b/>
                <w:bCs/>
                <w:sz w:val="18"/>
                <w:szCs w:val="18"/>
              </w:rPr>
            </w:pPr>
            <w:r w:rsidRPr="00FD3C2A">
              <w:rPr>
                <w:b/>
                <w:bCs/>
                <w:sz w:val="18"/>
                <w:szCs w:val="18"/>
              </w:rPr>
              <w:t>Number of people walking</w:t>
            </w:r>
          </w:p>
        </w:tc>
        <w:tc>
          <w:tcPr>
            <w:tcW w:w="1848" w:type="dxa"/>
          </w:tcPr>
          <w:p w:rsidR="005D1289" w:rsidRPr="00FD3C2A" w:rsidRDefault="005D1289" w:rsidP="000F1246">
            <w:pPr>
              <w:spacing w:after="0" w:line="240" w:lineRule="auto"/>
              <w:rPr>
                <w:b/>
                <w:bCs/>
                <w:sz w:val="18"/>
                <w:szCs w:val="18"/>
              </w:rPr>
            </w:pPr>
            <w:r w:rsidRPr="00FD3C2A">
              <w:rPr>
                <w:b/>
                <w:bCs/>
                <w:sz w:val="18"/>
                <w:szCs w:val="18"/>
              </w:rPr>
              <w:t>Percentage of people walking</w:t>
            </w:r>
          </w:p>
        </w:tc>
        <w:tc>
          <w:tcPr>
            <w:tcW w:w="1849" w:type="dxa"/>
          </w:tcPr>
          <w:p w:rsidR="005D1289" w:rsidRPr="00FD3C2A" w:rsidRDefault="005D1289" w:rsidP="000F1246">
            <w:pPr>
              <w:spacing w:after="0" w:line="240" w:lineRule="auto"/>
              <w:rPr>
                <w:b/>
                <w:bCs/>
                <w:sz w:val="18"/>
                <w:szCs w:val="18"/>
              </w:rPr>
            </w:pPr>
            <w:r w:rsidRPr="00FD3C2A">
              <w:rPr>
                <w:b/>
                <w:bCs/>
                <w:sz w:val="18"/>
                <w:szCs w:val="18"/>
              </w:rPr>
              <w:t>Number of people catching a bus</w:t>
            </w:r>
          </w:p>
        </w:tc>
        <w:tc>
          <w:tcPr>
            <w:tcW w:w="1849" w:type="dxa"/>
          </w:tcPr>
          <w:p w:rsidR="005D1289" w:rsidRPr="00FD3C2A" w:rsidRDefault="005D1289" w:rsidP="000F1246">
            <w:pPr>
              <w:spacing w:after="0" w:line="240" w:lineRule="auto"/>
              <w:rPr>
                <w:b/>
                <w:bCs/>
                <w:sz w:val="18"/>
                <w:szCs w:val="18"/>
              </w:rPr>
            </w:pPr>
            <w:r w:rsidRPr="00FD3C2A">
              <w:rPr>
                <w:b/>
                <w:bCs/>
                <w:sz w:val="18"/>
                <w:szCs w:val="18"/>
              </w:rPr>
              <w:t>Percentage of people catching a bus</w:t>
            </w:r>
          </w:p>
        </w:tc>
      </w:tr>
      <w:tr w:rsidR="005D1289" w:rsidRPr="00FD3C2A" w:rsidTr="000F1246">
        <w:tc>
          <w:tcPr>
            <w:tcW w:w="1848" w:type="dxa"/>
          </w:tcPr>
          <w:p w:rsidR="005D1289" w:rsidRPr="00FD3C2A" w:rsidRDefault="005D1289" w:rsidP="000F1246">
            <w:pPr>
              <w:spacing w:after="0" w:line="240" w:lineRule="auto"/>
              <w:rPr>
                <w:sz w:val="18"/>
                <w:szCs w:val="18"/>
              </w:rPr>
            </w:pPr>
            <w:r w:rsidRPr="00FD3C2A">
              <w:rPr>
                <w:sz w:val="18"/>
                <w:szCs w:val="18"/>
              </w:rPr>
              <w:t>Derwent Park</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17</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7.6</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4</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1.8</w:t>
            </w:r>
          </w:p>
        </w:tc>
      </w:tr>
      <w:tr w:rsidR="005D1289" w:rsidRPr="00FD3C2A" w:rsidTr="000F1246">
        <w:tc>
          <w:tcPr>
            <w:tcW w:w="1848" w:type="dxa"/>
            <w:vAlign w:val="bottom"/>
          </w:tcPr>
          <w:p w:rsidR="005D1289" w:rsidRPr="00FD3C2A" w:rsidRDefault="005D1289" w:rsidP="000F1246">
            <w:pPr>
              <w:spacing w:after="0" w:line="240" w:lineRule="auto"/>
              <w:rPr>
                <w:color w:val="000000"/>
                <w:sz w:val="18"/>
                <w:szCs w:val="18"/>
                <w:lang w:eastAsia="en-AU"/>
              </w:rPr>
            </w:pPr>
            <w:r w:rsidRPr="00FD3C2A">
              <w:rPr>
                <w:color w:val="000000"/>
                <w:sz w:val="18"/>
                <w:szCs w:val="18"/>
                <w:lang w:eastAsia="en-AU"/>
              </w:rPr>
              <w:t>Glenorchy</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143</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4.8</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218</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7.3</w:t>
            </w:r>
          </w:p>
        </w:tc>
      </w:tr>
      <w:tr w:rsidR="005D1289" w:rsidRPr="00FD3C2A" w:rsidTr="000F1246">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Goodwood</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28</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10.3</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18</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6.6</w:t>
            </w:r>
          </w:p>
        </w:tc>
      </w:tr>
      <w:tr w:rsidR="005D1289" w:rsidRPr="00FD3C2A" w:rsidTr="000F1246">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 xml:space="preserve">Hobart </w:t>
            </w:r>
            <w:proofErr w:type="spellStart"/>
            <w:r w:rsidRPr="00FD3C2A">
              <w:rPr>
                <w:color w:val="000000"/>
                <w:sz w:val="18"/>
                <w:szCs w:val="18"/>
                <w:lang w:eastAsia="en-AU"/>
              </w:rPr>
              <w:t>CBD</w:t>
            </w:r>
            <w:proofErr w:type="spellEnd"/>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351</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52.8</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26</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3.9</w:t>
            </w:r>
          </w:p>
        </w:tc>
      </w:tr>
      <w:tr w:rsidR="005D1289" w:rsidRPr="00FD3C2A" w:rsidTr="000F1246">
        <w:tc>
          <w:tcPr>
            <w:tcW w:w="1848" w:type="dxa"/>
          </w:tcPr>
          <w:p w:rsidR="005D1289" w:rsidRPr="00FD3C2A" w:rsidRDefault="005D1289" w:rsidP="000F1246">
            <w:pPr>
              <w:spacing w:after="0" w:line="240" w:lineRule="auto"/>
              <w:rPr>
                <w:sz w:val="18"/>
                <w:szCs w:val="18"/>
              </w:rPr>
            </w:pPr>
            <w:proofErr w:type="spellStart"/>
            <w:r w:rsidRPr="00FD3C2A">
              <w:rPr>
                <w:color w:val="000000"/>
                <w:sz w:val="18"/>
                <w:szCs w:val="18"/>
                <w:lang w:eastAsia="en-AU"/>
              </w:rPr>
              <w:t>Lenah</w:t>
            </w:r>
            <w:proofErr w:type="spellEnd"/>
            <w:r w:rsidRPr="00FD3C2A">
              <w:rPr>
                <w:color w:val="000000"/>
                <w:sz w:val="18"/>
                <w:szCs w:val="18"/>
                <w:lang w:eastAsia="en-AU"/>
              </w:rPr>
              <w:t xml:space="preserve"> Valley</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125</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5.7</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162</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7.4</w:t>
            </w:r>
          </w:p>
        </w:tc>
      </w:tr>
      <w:tr w:rsidR="005D1289" w:rsidRPr="00FD3C2A" w:rsidTr="000F1246">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Lutana</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42</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5.2</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68</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8.4</w:t>
            </w:r>
          </w:p>
        </w:tc>
      </w:tr>
      <w:tr w:rsidR="005D1289" w:rsidRPr="00FD3C2A" w:rsidTr="000F1246">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Moonah</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153</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9.2</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132</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8.0</w:t>
            </w:r>
          </w:p>
        </w:tc>
      </w:tr>
      <w:tr w:rsidR="005D1289" w:rsidRPr="00FD3C2A" w:rsidTr="000F1246">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Mount Stuart</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185</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16.6</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51</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4.6</w:t>
            </w:r>
          </w:p>
        </w:tc>
      </w:tr>
      <w:tr w:rsidR="005D1289" w:rsidRPr="00FD3C2A" w:rsidTr="000F1246">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New Town</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245</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12.1</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188</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9.3</w:t>
            </w:r>
          </w:p>
        </w:tc>
      </w:tr>
      <w:tr w:rsidR="005D1289" w:rsidRPr="00FD3C2A" w:rsidTr="000F1246">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North Hobart</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369</w:t>
            </w:r>
          </w:p>
        </w:tc>
        <w:tc>
          <w:tcPr>
            <w:tcW w:w="1848" w:type="dxa"/>
          </w:tcPr>
          <w:p w:rsidR="005D1289" w:rsidRPr="00FD3C2A" w:rsidRDefault="005D1289" w:rsidP="000F1246">
            <w:pPr>
              <w:spacing w:after="0" w:line="240" w:lineRule="auto"/>
              <w:rPr>
                <w:sz w:val="18"/>
                <w:szCs w:val="18"/>
              </w:rPr>
            </w:pPr>
            <w:r w:rsidRPr="00FD3C2A">
              <w:rPr>
                <w:color w:val="000000"/>
                <w:sz w:val="18"/>
                <w:szCs w:val="18"/>
                <w:lang w:eastAsia="en-AU"/>
              </w:rPr>
              <w:t>37.1</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62</w:t>
            </w:r>
          </w:p>
        </w:tc>
        <w:tc>
          <w:tcPr>
            <w:tcW w:w="1849" w:type="dxa"/>
          </w:tcPr>
          <w:p w:rsidR="005D1289" w:rsidRPr="00FD3C2A" w:rsidRDefault="005D1289" w:rsidP="000F1246">
            <w:pPr>
              <w:spacing w:after="0" w:line="240" w:lineRule="auto"/>
              <w:rPr>
                <w:sz w:val="18"/>
                <w:szCs w:val="18"/>
              </w:rPr>
            </w:pPr>
            <w:r w:rsidRPr="00FD3C2A">
              <w:rPr>
                <w:color w:val="000000"/>
                <w:sz w:val="18"/>
                <w:szCs w:val="18"/>
                <w:lang w:eastAsia="en-AU"/>
              </w:rPr>
              <w:t>6.2</w:t>
            </w:r>
          </w:p>
        </w:tc>
      </w:tr>
      <w:tr w:rsidR="005D1289" w:rsidRPr="00FD3C2A" w:rsidTr="000F1246">
        <w:tc>
          <w:tcPr>
            <w:tcW w:w="1848" w:type="dxa"/>
          </w:tcPr>
          <w:p w:rsidR="005D1289" w:rsidRPr="00FD3C2A" w:rsidRDefault="005D1289" w:rsidP="000F1246">
            <w:pPr>
              <w:spacing w:after="0" w:line="240" w:lineRule="auto"/>
              <w:rPr>
                <w:color w:val="000000"/>
                <w:sz w:val="18"/>
                <w:szCs w:val="18"/>
                <w:lang w:eastAsia="en-AU"/>
              </w:rPr>
            </w:pPr>
            <w:r w:rsidRPr="00FD3C2A">
              <w:rPr>
                <w:color w:val="000000"/>
                <w:sz w:val="18"/>
                <w:szCs w:val="18"/>
                <w:lang w:eastAsia="en-AU"/>
              </w:rPr>
              <w:t>West Hobart</w:t>
            </w:r>
          </w:p>
        </w:tc>
        <w:tc>
          <w:tcPr>
            <w:tcW w:w="1848" w:type="dxa"/>
          </w:tcPr>
          <w:p w:rsidR="005D1289" w:rsidRPr="00FD3C2A" w:rsidRDefault="005D1289" w:rsidP="000F1246">
            <w:pPr>
              <w:spacing w:after="0" w:line="240" w:lineRule="auto"/>
              <w:rPr>
                <w:color w:val="000000"/>
                <w:sz w:val="18"/>
                <w:szCs w:val="18"/>
                <w:lang w:eastAsia="en-AU"/>
              </w:rPr>
            </w:pPr>
            <w:r w:rsidRPr="00FD3C2A">
              <w:rPr>
                <w:color w:val="000000"/>
                <w:sz w:val="18"/>
                <w:szCs w:val="18"/>
                <w:lang w:eastAsia="en-AU"/>
              </w:rPr>
              <w:t>739</w:t>
            </w:r>
          </w:p>
        </w:tc>
        <w:tc>
          <w:tcPr>
            <w:tcW w:w="1848" w:type="dxa"/>
          </w:tcPr>
          <w:p w:rsidR="005D1289" w:rsidRPr="00FD3C2A" w:rsidRDefault="005D1289" w:rsidP="000F1246">
            <w:pPr>
              <w:spacing w:after="0" w:line="240" w:lineRule="auto"/>
              <w:rPr>
                <w:color w:val="000000"/>
                <w:sz w:val="18"/>
                <w:szCs w:val="18"/>
                <w:lang w:eastAsia="en-AU"/>
              </w:rPr>
            </w:pPr>
            <w:r w:rsidRPr="00FD3C2A">
              <w:rPr>
                <w:color w:val="000000"/>
                <w:sz w:val="18"/>
                <w:szCs w:val="18"/>
                <w:lang w:eastAsia="en-AU"/>
              </w:rPr>
              <w:t>31.6</w:t>
            </w:r>
          </w:p>
        </w:tc>
        <w:tc>
          <w:tcPr>
            <w:tcW w:w="1849" w:type="dxa"/>
          </w:tcPr>
          <w:p w:rsidR="005D1289" w:rsidRPr="00FD3C2A" w:rsidRDefault="005D1289" w:rsidP="000F1246">
            <w:pPr>
              <w:spacing w:after="0" w:line="240" w:lineRule="auto"/>
              <w:rPr>
                <w:color w:val="000000"/>
                <w:sz w:val="18"/>
                <w:szCs w:val="18"/>
                <w:lang w:eastAsia="en-AU"/>
              </w:rPr>
            </w:pPr>
            <w:r w:rsidRPr="00FD3C2A">
              <w:rPr>
                <w:color w:val="000000"/>
                <w:sz w:val="18"/>
                <w:szCs w:val="18"/>
                <w:lang w:eastAsia="en-AU"/>
              </w:rPr>
              <w:t>54</w:t>
            </w:r>
          </w:p>
        </w:tc>
        <w:tc>
          <w:tcPr>
            <w:tcW w:w="1849" w:type="dxa"/>
          </w:tcPr>
          <w:p w:rsidR="005D1289" w:rsidRPr="00FD3C2A" w:rsidRDefault="005D1289" w:rsidP="000F1246">
            <w:pPr>
              <w:spacing w:after="0" w:line="240" w:lineRule="auto"/>
              <w:rPr>
                <w:color w:val="000000"/>
                <w:sz w:val="18"/>
                <w:szCs w:val="18"/>
                <w:lang w:eastAsia="en-AU"/>
              </w:rPr>
            </w:pPr>
            <w:r w:rsidRPr="00FD3C2A">
              <w:rPr>
                <w:color w:val="000000"/>
                <w:sz w:val="18"/>
                <w:szCs w:val="18"/>
                <w:lang w:eastAsia="en-AU"/>
              </w:rPr>
              <w:t>2.3</w:t>
            </w:r>
          </w:p>
        </w:tc>
      </w:tr>
      <w:tr w:rsidR="005D1289" w:rsidRPr="00FD3C2A" w:rsidTr="000F1246">
        <w:tc>
          <w:tcPr>
            <w:tcW w:w="1848" w:type="dxa"/>
          </w:tcPr>
          <w:p w:rsidR="005D1289" w:rsidRPr="00FD3C2A" w:rsidRDefault="005D1289" w:rsidP="000F1246">
            <w:pPr>
              <w:spacing w:after="0" w:line="240" w:lineRule="auto"/>
              <w:rPr>
                <w:color w:val="000000"/>
                <w:sz w:val="18"/>
                <w:szCs w:val="18"/>
                <w:lang w:eastAsia="en-AU"/>
              </w:rPr>
            </w:pPr>
            <w:r w:rsidRPr="00FD3C2A">
              <w:rPr>
                <w:color w:val="000000"/>
                <w:sz w:val="18"/>
                <w:szCs w:val="18"/>
                <w:lang w:eastAsia="en-AU"/>
              </w:rPr>
              <w:t>West Moonah</w:t>
            </w:r>
          </w:p>
        </w:tc>
        <w:tc>
          <w:tcPr>
            <w:tcW w:w="1848" w:type="dxa"/>
          </w:tcPr>
          <w:p w:rsidR="005D1289" w:rsidRPr="00FD3C2A" w:rsidRDefault="005D1289" w:rsidP="000F1246">
            <w:pPr>
              <w:spacing w:after="0" w:line="240" w:lineRule="auto"/>
              <w:rPr>
                <w:color w:val="000000"/>
                <w:sz w:val="18"/>
                <w:szCs w:val="18"/>
                <w:lang w:eastAsia="en-AU"/>
              </w:rPr>
            </w:pPr>
            <w:r w:rsidRPr="00FD3C2A">
              <w:rPr>
                <w:color w:val="000000"/>
                <w:sz w:val="18"/>
                <w:szCs w:val="18"/>
                <w:lang w:eastAsia="en-AU"/>
              </w:rPr>
              <w:t>52</w:t>
            </w:r>
          </w:p>
        </w:tc>
        <w:tc>
          <w:tcPr>
            <w:tcW w:w="1848" w:type="dxa"/>
          </w:tcPr>
          <w:p w:rsidR="005D1289" w:rsidRPr="00FD3C2A" w:rsidRDefault="005D1289" w:rsidP="000F1246">
            <w:pPr>
              <w:spacing w:after="0" w:line="240" w:lineRule="auto"/>
              <w:rPr>
                <w:color w:val="000000"/>
                <w:sz w:val="18"/>
                <w:szCs w:val="18"/>
                <w:lang w:eastAsia="en-AU"/>
              </w:rPr>
            </w:pPr>
            <w:r w:rsidRPr="00FD3C2A">
              <w:rPr>
                <w:color w:val="000000"/>
                <w:sz w:val="18"/>
                <w:szCs w:val="18"/>
                <w:lang w:eastAsia="en-AU"/>
              </w:rPr>
              <w:t>3.7</w:t>
            </w:r>
          </w:p>
        </w:tc>
        <w:tc>
          <w:tcPr>
            <w:tcW w:w="1849" w:type="dxa"/>
          </w:tcPr>
          <w:p w:rsidR="005D1289" w:rsidRPr="00FD3C2A" w:rsidRDefault="005D1289" w:rsidP="000F1246">
            <w:pPr>
              <w:spacing w:after="0" w:line="240" w:lineRule="auto"/>
              <w:rPr>
                <w:color w:val="000000"/>
                <w:sz w:val="18"/>
                <w:szCs w:val="18"/>
                <w:lang w:eastAsia="en-AU"/>
              </w:rPr>
            </w:pPr>
            <w:r w:rsidRPr="00FD3C2A">
              <w:rPr>
                <w:color w:val="000000"/>
                <w:sz w:val="18"/>
                <w:szCs w:val="18"/>
                <w:lang w:eastAsia="en-AU"/>
              </w:rPr>
              <w:t>119</w:t>
            </w:r>
          </w:p>
        </w:tc>
        <w:tc>
          <w:tcPr>
            <w:tcW w:w="1849" w:type="dxa"/>
          </w:tcPr>
          <w:p w:rsidR="005D1289" w:rsidRPr="00FD3C2A" w:rsidRDefault="005D1289" w:rsidP="000F1246">
            <w:pPr>
              <w:spacing w:after="0" w:line="240" w:lineRule="auto"/>
              <w:rPr>
                <w:color w:val="000000"/>
                <w:sz w:val="18"/>
                <w:szCs w:val="18"/>
                <w:lang w:eastAsia="en-AU"/>
              </w:rPr>
            </w:pPr>
            <w:r w:rsidRPr="00FD3C2A">
              <w:rPr>
                <w:color w:val="000000"/>
                <w:sz w:val="18"/>
                <w:szCs w:val="18"/>
                <w:lang w:eastAsia="en-AU"/>
              </w:rPr>
              <w:t>8.5</w:t>
            </w:r>
          </w:p>
        </w:tc>
      </w:tr>
    </w:tbl>
    <w:p w:rsidR="005D1289" w:rsidRPr="007B460F" w:rsidRDefault="005D1289" w:rsidP="005D1289">
      <w:pPr>
        <w:autoSpaceDE w:val="0"/>
        <w:autoSpaceDN w:val="0"/>
        <w:adjustRightInd w:val="0"/>
        <w:spacing w:after="0" w:line="240" w:lineRule="auto"/>
        <w:rPr>
          <w:sz w:val="18"/>
          <w:szCs w:val="18"/>
        </w:rPr>
      </w:pPr>
      <w:r w:rsidRPr="007B460F">
        <w:rPr>
          <w:sz w:val="18"/>
          <w:szCs w:val="18"/>
        </w:rPr>
        <w:t>Source ABS, 2006</w:t>
      </w:r>
      <w:r>
        <w:rPr>
          <w:sz w:val="18"/>
          <w:szCs w:val="18"/>
        </w:rPr>
        <w:t>.</w:t>
      </w:r>
    </w:p>
    <w:p w:rsidR="005D1289" w:rsidRDefault="005D1289" w:rsidP="005D1289">
      <w:pPr>
        <w:rPr>
          <w:sz w:val="18"/>
          <w:szCs w:val="18"/>
        </w:rPr>
      </w:pPr>
    </w:p>
    <w:p w:rsidR="005D1289" w:rsidRPr="004B5ECC" w:rsidRDefault="005D1289" w:rsidP="005D1289">
      <w:pPr>
        <w:rPr>
          <w:sz w:val="18"/>
          <w:szCs w:val="18"/>
        </w:rPr>
      </w:pPr>
    </w:p>
    <w:p w:rsidR="005D1289" w:rsidRDefault="005D1289" w:rsidP="005D1289">
      <w:pPr>
        <w:pStyle w:val="Heading3"/>
      </w:pPr>
      <w:bookmarkStart w:id="40" w:name="_Toc329331947"/>
      <w:r>
        <w:t>Origin of public transport users</w:t>
      </w:r>
      <w:bookmarkEnd w:id="40"/>
    </w:p>
    <w:p w:rsidR="005D1289" w:rsidRDefault="005D1289" w:rsidP="005D1289">
      <w:pPr>
        <w:spacing w:after="120" w:line="240" w:lineRule="auto"/>
        <w:jc w:val="both"/>
      </w:pPr>
      <w:r w:rsidRPr="003213D9">
        <w:t xml:space="preserve">Clarence </w:t>
      </w:r>
      <w:r>
        <w:t xml:space="preserve">City </w:t>
      </w:r>
      <w:r w:rsidRPr="003213D9">
        <w:t>Council (32 percent) has the highest proportion of public transport users travel</w:t>
      </w:r>
      <w:r>
        <w:t xml:space="preserve">ling to the Hobart </w:t>
      </w:r>
      <w:proofErr w:type="spellStart"/>
      <w:r>
        <w:t>CBD</w:t>
      </w:r>
      <w:proofErr w:type="spellEnd"/>
      <w:r>
        <w:t xml:space="preserve"> for work</w:t>
      </w:r>
      <w:r w:rsidRPr="003213D9">
        <w:t xml:space="preserve"> than the other Councils, including Hobart itself. This is because a greater proportion of people living within Hobart</w:t>
      </w:r>
      <w:r>
        <w:t>,</w:t>
      </w:r>
      <w:r w:rsidRPr="003213D9">
        <w:t xml:space="preserve"> walk </w:t>
      </w:r>
      <w:r>
        <w:t xml:space="preserve">rather </w:t>
      </w:r>
      <w:r w:rsidRPr="003213D9">
        <w:t>than use public transport</w:t>
      </w:r>
      <w:r w:rsidRPr="005337E4">
        <w:t xml:space="preserve"> </w:t>
      </w:r>
      <w:r w:rsidRPr="003213D9">
        <w:t xml:space="preserve">to </w:t>
      </w:r>
      <w:r>
        <w:t xml:space="preserve">travel to </w:t>
      </w:r>
      <w:r w:rsidRPr="003213D9">
        <w:t xml:space="preserve">the Hobart </w:t>
      </w:r>
      <w:proofErr w:type="spellStart"/>
      <w:r w:rsidRPr="003213D9">
        <w:t>CBD</w:t>
      </w:r>
      <w:proofErr w:type="spellEnd"/>
      <w:r w:rsidRPr="003213D9">
        <w:t xml:space="preserve">. </w:t>
      </w:r>
    </w:p>
    <w:p w:rsidR="005D1289" w:rsidRDefault="005D1289" w:rsidP="005D1289">
      <w:pPr>
        <w:spacing w:after="120" w:line="240" w:lineRule="auto"/>
        <w:jc w:val="both"/>
      </w:pPr>
      <w:r w:rsidRPr="003213D9">
        <w:t xml:space="preserve">The major origins of public transport users travelling to Glenorchy, Moonah and Derwent Park </w:t>
      </w:r>
      <w:r>
        <w:t xml:space="preserve">suburbs </w:t>
      </w:r>
      <w:r w:rsidRPr="003213D9">
        <w:t xml:space="preserve">are Glenorchy </w:t>
      </w:r>
      <w:r>
        <w:t xml:space="preserve">City </w:t>
      </w:r>
      <w:r w:rsidRPr="003213D9">
        <w:t xml:space="preserve">Council (33 percent) and Hobart </w:t>
      </w:r>
      <w:r>
        <w:t xml:space="preserve">City </w:t>
      </w:r>
      <w:r w:rsidRPr="003213D9">
        <w:t>Council (25 percent)</w:t>
      </w:r>
      <w:r>
        <w:t>.</w:t>
      </w:r>
    </w:p>
    <w:p w:rsidR="000F1246" w:rsidRDefault="005D1289" w:rsidP="005D1289">
      <w:pPr>
        <w:sectPr w:rsidR="000F1246" w:rsidSect="0081590E">
          <w:headerReference w:type="default" r:id="rId12"/>
          <w:footerReference w:type="default" r:id="rId13"/>
          <w:pgSz w:w="11906" w:h="16838"/>
          <w:pgMar w:top="1440" w:right="1440" w:bottom="1440" w:left="1440" w:header="708" w:footer="708" w:gutter="0"/>
          <w:cols w:space="708"/>
          <w:docGrid w:linePitch="360"/>
        </w:sectPr>
      </w:pPr>
      <w:r>
        <w:t xml:space="preserve"> </w:t>
      </w:r>
    </w:p>
    <w:tbl>
      <w:tblPr>
        <w:tblW w:w="5000" w:type="pct"/>
        <w:tblLook w:val="00A0"/>
      </w:tblPr>
      <w:tblGrid>
        <w:gridCol w:w="7087"/>
        <w:gridCol w:w="7087"/>
      </w:tblGrid>
      <w:tr w:rsidR="000F1246" w:rsidRPr="00FD3C2A" w:rsidTr="00FC5095">
        <w:tc>
          <w:tcPr>
            <w:tcW w:w="2500" w:type="pct"/>
          </w:tcPr>
          <w:p w:rsidR="000F1246" w:rsidRPr="00FD3C2A" w:rsidRDefault="000F1246" w:rsidP="00935B0B">
            <w:pPr>
              <w:pStyle w:val="Caption"/>
              <w:spacing w:after="0"/>
            </w:pPr>
            <w:bookmarkStart w:id="41" w:name="_Ref309289107"/>
            <w:r w:rsidRPr="00FD3C2A">
              <w:lastRenderedPageBreak/>
              <w:t xml:space="preserve">Figure </w:t>
            </w:r>
            <w:r w:rsidR="00637FD9">
              <w:fldChar w:fldCharType="begin"/>
            </w:r>
            <w:r>
              <w:instrText xml:space="preserve"> SEQ Figure \* ARABIC </w:instrText>
            </w:r>
            <w:r w:rsidR="00637FD9">
              <w:fldChar w:fldCharType="separate"/>
            </w:r>
            <w:r w:rsidR="00361A55">
              <w:rPr>
                <w:noProof/>
              </w:rPr>
              <w:t>11</w:t>
            </w:r>
            <w:r w:rsidR="00637FD9">
              <w:fldChar w:fldCharType="end"/>
            </w:r>
            <w:bookmarkEnd w:id="41"/>
            <w:r w:rsidRPr="00FD3C2A">
              <w:t xml:space="preserve"> Proportion of public transport users travelling to Hobart </w:t>
            </w:r>
            <w:proofErr w:type="spellStart"/>
            <w:r w:rsidRPr="00FD3C2A">
              <w:t>CBD</w:t>
            </w:r>
            <w:proofErr w:type="spellEnd"/>
            <w:r w:rsidRPr="00FD3C2A">
              <w:t xml:space="preserve"> in the journey to work </w:t>
            </w:r>
          </w:p>
          <w:p w:rsidR="000F1246" w:rsidRPr="00FD3C2A" w:rsidRDefault="000F1246" w:rsidP="00935B0B">
            <w:pPr>
              <w:spacing w:after="0" w:line="240" w:lineRule="auto"/>
            </w:pPr>
          </w:p>
        </w:tc>
        <w:tc>
          <w:tcPr>
            <w:tcW w:w="2500" w:type="pct"/>
          </w:tcPr>
          <w:p w:rsidR="000F1246" w:rsidRPr="00FD3C2A" w:rsidRDefault="000F1246" w:rsidP="00935B0B">
            <w:pPr>
              <w:pStyle w:val="Caption"/>
              <w:spacing w:after="0"/>
            </w:pPr>
            <w:r w:rsidRPr="00FD3C2A">
              <w:t xml:space="preserve">Figure </w:t>
            </w:r>
            <w:r w:rsidR="00637FD9">
              <w:fldChar w:fldCharType="begin"/>
            </w:r>
            <w:r>
              <w:instrText xml:space="preserve"> SEQ Figure \* ARABIC </w:instrText>
            </w:r>
            <w:r w:rsidR="00637FD9">
              <w:fldChar w:fldCharType="separate"/>
            </w:r>
            <w:r w:rsidR="00361A55">
              <w:rPr>
                <w:noProof/>
              </w:rPr>
              <w:t>12</w:t>
            </w:r>
            <w:r w:rsidR="00637FD9">
              <w:fldChar w:fldCharType="end"/>
            </w:r>
            <w:r w:rsidRPr="00FD3C2A">
              <w:t xml:space="preserve"> Proportion of public transport  users travelling to Glenorchy, Moonah and Derwent Park in the journey to work </w:t>
            </w:r>
          </w:p>
        </w:tc>
      </w:tr>
      <w:tr w:rsidR="000F1246" w:rsidRPr="00FD3C2A" w:rsidTr="00FC5095">
        <w:tc>
          <w:tcPr>
            <w:tcW w:w="2500" w:type="pct"/>
          </w:tcPr>
          <w:p w:rsidR="000F1246" w:rsidRPr="00FD3C2A" w:rsidRDefault="00637FD9" w:rsidP="00935B0B">
            <w:pPr>
              <w:spacing w:after="0" w:line="240" w:lineRule="auto"/>
            </w:pPr>
            <w:r w:rsidRPr="00637FD9">
              <w:rPr>
                <w:noProof/>
                <w:lang w:val="en-US"/>
              </w:rPr>
              <w:pict>
                <v:shape id="_x0000_s1042" type="#_x0000_t202" style="position:absolute;margin-left:8.65pt;margin-top:377.65pt;width:302.95pt;height:24.75pt;z-index:251658240;mso-position-horizontal-relative:text;mso-position-vertical-relative:text" stroked="f">
                  <v:textbox style="mso-next-textbox:#_x0000_s1042">
                    <w:txbxContent>
                      <w:p w:rsidR="00935B0B" w:rsidRDefault="00935B0B" w:rsidP="000F1246">
                        <w:pPr>
                          <w:autoSpaceDE w:val="0"/>
                          <w:autoSpaceDN w:val="0"/>
                          <w:adjustRightInd w:val="0"/>
                          <w:jc w:val="both"/>
                          <w:rPr>
                            <w:sz w:val="18"/>
                            <w:szCs w:val="18"/>
                          </w:rPr>
                        </w:pPr>
                        <w:r w:rsidRPr="008847AF">
                          <w:rPr>
                            <w:sz w:val="18"/>
                            <w:szCs w:val="18"/>
                          </w:rPr>
                          <w:t xml:space="preserve">Source: </w:t>
                        </w:r>
                        <w:r>
                          <w:rPr>
                            <w:sz w:val="18"/>
                            <w:szCs w:val="18"/>
                          </w:rPr>
                          <w:t>ABS 2006.</w:t>
                        </w:r>
                      </w:p>
                      <w:p w:rsidR="00935B0B" w:rsidRDefault="00935B0B" w:rsidP="000F1246"/>
                    </w:txbxContent>
                  </v:textbox>
                </v:shape>
              </w:pict>
            </w:r>
            <w:r w:rsidR="000F1246">
              <w:rPr>
                <w:noProof/>
                <w:lang w:eastAsia="en-AU"/>
              </w:rPr>
              <w:drawing>
                <wp:inline distT="0" distB="0" distL="0" distR="0">
                  <wp:extent cx="3638550" cy="5191125"/>
                  <wp:effectExtent l="19050" t="0" r="0" b="0"/>
                  <wp:docPr id="6" name="Picture 19" descr="Transit Corridors_HCC_bus patro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nsit Corridors_HCC_bus patronage.jpg"/>
                          <pic:cNvPicPr>
                            <a:picLocks noChangeAspect="1" noChangeArrowheads="1"/>
                          </pic:cNvPicPr>
                        </pic:nvPicPr>
                        <pic:blipFill>
                          <a:blip r:embed="rId14" cstate="print"/>
                          <a:srcRect/>
                          <a:stretch>
                            <a:fillRect/>
                          </a:stretch>
                        </pic:blipFill>
                        <pic:spPr bwMode="auto">
                          <a:xfrm>
                            <a:off x="0" y="0"/>
                            <a:ext cx="3638550" cy="5191125"/>
                          </a:xfrm>
                          <a:prstGeom prst="rect">
                            <a:avLst/>
                          </a:prstGeom>
                          <a:noFill/>
                          <a:ln w="9525">
                            <a:noFill/>
                            <a:miter lim="800000"/>
                            <a:headEnd/>
                            <a:tailEnd/>
                          </a:ln>
                        </pic:spPr>
                      </pic:pic>
                    </a:graphicData>
                  </a:graphic>
                </wp:inline>
              </w:drawing>
            </w:r>
          </w:p>
        </w:tc>
        <w:tc>
          <w:tcPr>
            <w:tcW w:w="2500" w:type="pct"/>
          </w:tcPr>
          <w:p w:rsidR="000F1246" w:rsidRPr="00FD3C2A" w:rsidRDefault="000F1246" w:rsidP="00935B0B">
            <w:pPr>
              <w:spacing w:after="0" w:line="240" w:lineRule="auto"/>
            </w:pPr>
            <w:r>
              <w:rPr>
                <w:noProof/>
                <w:lang w:eastAsia="en-AU"/>
              </w:rPr>
              <w:drawing>
                <wp:inline distT="0" distB="0" distL="0" distR="0">
                  <wp:extent cx="3676650" cy="5191125"/>
                  <wp:effectExtent l="19050" t="0" r="0" b="0"/>
                  <wp:docPr id="10" name="Picture 20" descr="Transit Corridors_GCC_bus patro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it Corridors_GCC_bus patronage.jpg"/>
                          <pic:cNvPicPr>
                            <a:picLocks noChangeAspect="1" noChangeArrowheads="1"/>
                          </pic:cNvPicPr>
                        </pic:nvPicPr>
                        <pic:blipFill>
                          <a:blip r:embed="rId15" cstate="print"/>
                          <a:srcRect/>
                          <a:stretch>
                            <a:fillRect/>
                          </a:stretch>
                        </pic:blipFill>
                        <pic:spPr bwMode="auto">
                          <a:xfrm>
                            <a:off x="0" y="0"/>
                            <a:ext cx="3676650" cy="5191125"/>
                          </a:xfrm>
                          <a:prstGeom prst="rect">
                            <a:avLst/>
                          </a:prstGeom>
                          <a:noFill/>
                          <a:ln w="9525">
                            <a:noFill/>
                            <a:miter lim="800000"/>
                            <a:headEnd/>
                            <a:tailEnd/>
                          </a:ln>
                        </pic:spPr>
                      </pic:pic>
                    </a:graphicData>
                  </a:graphic>
                </wp:inline>
              </w:drawing>
            </w:r>
          </w:p>
        </w:tc>
      </w:tr>
    </w:tbl>
    <w:p w:rsidR="000F1246" w:rsidRDefault="000F1246" w:rsidP="005D1289">
      <w:pPr>
        <w:sectPr w:rsidR="000F1246" w:rsidSect="000F1246">
          <w:pgSz w:w="16838" w:h="11906" w:orient="landscape"/>
          <w:pgMar w:top="1440" w:right="1440" w:bottom="1440" w:left="1440" w:header="708" w:footer="708" w:gutter="0"/>
          <w:cols w:space="708"/>
          <w:docGrid w:linePitch="360"/>
        </w:sectPr>
      </w:pPr>
    </w:p>
    <w:p w:rsidR="000F1246" w:rsidRDefault="000F1246" w:rsidP="000F1246">
      <w:pPr>
        <w:pStyle w:val="Heading2"/>
        <w:numPr>
          <w:ilvl w:val="0"/>
          <w:numId w:val="0"/>
        </w:numPr>
        <w:ind w:left="576" w:hanging="576"/>
      </w:pPr>
    </w:p>
    <w:p w:rsidR="000F1246" w:rsidRPr="00181BA5" w:rsidRDefault="000F1246" w:rsidP="000F1246">
      <w:pPr>
        <w:pStyle w:val="Heading2"/>
      </w:pPr>
      <w:bookmarkStart w:id="42" w:name="_Toc329331948"/>
      <w:r>
        <w:t xml:space="preserve">Greater Hobart </w:t>
      </w:r>
      <w:r w:rsidRPr="00181BA5">
        <w:t>H</w:t>
      </w:r>
      <w:r>
        <w:t>ousehold Travel Survey Analysis</w:t>
      </w:r>
      <w:bookmarkEnd w:id="42"/>
    </w:p>
    <w:p w:rsidR="000F1246" w:rsidRDefault="000F1246" w:rsidP="000F1246">
      <w:pPr>
        <w:jc w:val="both"/>
      </w:pPr>
      <w:r w:rsidRPr="00D24D00">
        <w:t xml:space="preserve">The </w:t>
      </w:r>
      <w:r>
        <w:t>Greater Hobart Household T</w:t>
      </w:r>
      <w:r w:rsidRPr="00D24D00">
        <w:t xml:space="preserve">ravel </w:t>
      </w:r>
      <w:r>
        <w:t>S</w:t>
      </w:r>
      <w:r w:rsidRPr="00D24D00">
        <w:t xml:space="preserve">urvey </w:t>
      </w:r>
      <w:r>
        <w:t>undertaken in 2008/09 provides a detailed account of the population’s typical trip making patterns.</w:t>
      </w:r>
    </w:p>
    <w:p w:rsidR="000F1246" w:rsidRDefault="000F1246" w:rsidP="000F1246">
      <w:pPr>
        <w:pStyle w:val="Heading3"/>
      </w:pPr>
      <w:bookmarkStart w:id="43" w:name="_Toc329331949"/>
      <w:r>
        <w:t>What mode do people use to travel?</w:t>
      </w:r>
      <w:bookmarkEnd w:id="43"/>
    </w:p>
    <w:p w:rsidR="000F1246" w:rsidRPr="00FC5095" w:rsidRDefault="000F1246" w:rsidP="000F1246">
      <w:pPr>
        <w:pStyle w:val="Texttoreplace"/>
        <w:spacing w:after="120" w:line="240" w:lineRule="auto"/>
        <w:jc w:val="both"/>
        <w:rPr>
          <w:rFonts w:ascii="Arial" w:hAnsi="Arial" w:cs="Arial"/>
          <w:i w:val="0"/>
          <w:iCs/>
          <w:sz w:val="22"/>
          <w:lang w:val="en-GB"/>
        </w:rPr>
      </w:pPr>
      <w:r w:rsidRPr="00FC5095">
        <w:rPr>
          <w:rFonts w:ascii="Arial" w:hAnsi="Arial" w:cs="Arial"/>
          <w:i w:val="0"/>
          <w:iCs/>
          <w:sz w:val="22"/>
          <w:lang w:val="en-GB"/>
        </w:rPr>
        <w:t xml:space="preserve">Similar to journey to work data, the survey shows that </w:t>
      </w:r>
      <w:bookmarkStart w:id="44" w:name="OLE_LINK9"/>
      <w:r w:rsidRPr="00FC5095">
        <w:rPr>
          <w:rFonts w:ascii="Arial" w:hAnsi="Arial" w:cs="Arial"/>
          <w:i w:val="0"/>
          <w:iCs/>
          <w:sz w:val="22"/>
          <w:lang w:val="en-GB"/>
        </w:rPr>
        <w:t>Greater Hobart has low public transport use, at 4.0 percent during weekdays. Public transport has a much lower mode share on weekends, at 1.0 percent in Greater Hobart.</w:t>
      </w:r>
    </w:p>
    <w:bookmarkEnd w:id="44"/>
    <w:p w:rsidR="000F1246" w:rsidRPr="00FC5095" w:rsidRDefault="000F1246" w:rsidP="000F1246">
      <w:pPr>
        <w:pStyle w:val="Texttoreplace"/>
        <w:spacing w:after="120" w:line="240" w:lineRule="auto"/>
        <w:jc w:val="both"/>
        <w:rPr>
          <w:rFonts w:ascii="Arial" w:hAnsi="Arial" w:cs="Arial"/>
          <w:i w:val="0"/>
          <w:iCs/>
          <w:sz w:val="22"/>
          <w:lang w:val="en-GB"/>
        </w:rPr>
      </w:pPr>
      <w:proofErr w:type="spellStart"/>
      <w:r w:rsidRPr="00FC5095">
        <w:rPr>
          <w:rFonts w:ascii="Arial" w:hAnsi="Arial" w:cs="Arial"/>
          <w:i w:val="0"/>
          <w:iCs/>
          <w:sz w:val="22"/>
          <w:lang w:val="en-GB"/>
        </w:rPr>
        <w:t>Glenorchy</w:t>
      </w:r>
      <w:proofErr w:type="spellEnd"/>
      <w:r w:rsidRPr="00FC5095">
        <w:rPr>
          <w:rFonts w:ascii="Arial" w:hAnsi="Arial" w:cs="Arial"/>
          <w:i w:val="0"/>
          <w:iCs/>
          <w:sz w:val="22"/>
          <w:lang w:val="en-GB"/>
        </w:rPr>
        <w:t xml:space="preserve"> City Council has a higher mode share for public transport than Hobart; however Hobart has a much higher walking mode share at 30.2 percent. Cycling has a low mode share across Greater Hobart at 0.9 percent.</w:t>
      </w:r>
    </w:p>
    <w:p w:rsidR="000F1246" w:rsidRPr="00FC5095" w:rsidRDefault="000F1246" w:rsidP="000F1246">
      <w:pPr>
        <w:pStyle w:val="Texttoreplace"/>
        <w:spacing w:after="120" w:line="240" w:lineRule="auto"/>
        <w:jc w:val="both"/>
        <w:rPr>
          <w:rFonts w:ascii="Arial" w:hAnsi="Arial" w:cs="Arial"/>
          <w:i w:val="0"/>
          <w:iCs/>
          <w:sz w:val="22"/>
          <w:lang w:val="en-GB"/>
        </w:rPr>
      </w:pPr>
      <w:r w:rsidRPr="00FC5095">
        <w:rPr>
          <w:rFonts w:ascii="Arial" w:hAnsi="Arial" w:cs="Arial"/>
          <w:i w:val="0"/>
          <w:iCs/>
          <w:sz w:val="22"/>
          <w:lang w:val="en-GB"/>
        </w:rPr>
        <w:t>The car is by far the most popular travel mode, although Hobart has the lowest mode share for car trips of all Greater Hobart Councils.</w:t>
      </w:r>
    </w:p>
    <w:p w:rsidR="000F1246" w:rsidRDefault="000F1246" w:rsidP="000F1246">
      <w:pPr>
        <w:pStyle w:val="Caption"/>
        <w:rPr>
          <w:i/>
          <w:iCs/>
          <w:sz w:val="22"/>
          <w:szCs w:val="22"/>
          <w:lang w:val="en-GB"/>
        </w:rPr>
      </w:pPr>
      <w:r>
        <w:t xml:space="preserve">Figure </w:t>
      </w:r>
      <w:fldSimple w:instr=" SEQ Figure \* ARABIC ">
        <w:r w:rsidR="00361A55">
          <w:rPr>
            <w:noProof/>
          </w:rPr>
          <w:t>13</w:t>
        </w:r>
      </w:fldSimple>
      <w:r>
        <w:t xml:space="preserve"> Weekday mode share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2310"/>
        <w:gridCol w:w="2311"/>
        <w:gridCol w:w="2311"/>
      </w:tblGrid>
      <w:tr w:rsidR="000F1246" w:rsidRPr="00FD3C2A" w:rsidTr="000F1246">
        <w:tc>
          <w:tcPr>
            <w:tcW w:w="2310" w:type="dxa"/>
          </w:tcPr>
          <w:p w:rsidR="000F1246" w:rsidRPr="00FC5095" w:rsidRDefault="000F1246" w:rsidP="000F1246">
            <w:pPr>
              <w:pStyle w:val="Texttoreplace"/>
              <w:spacing w:after="120" w:line="240" w:lineRule="auto"/>
              <w:jc w:val="both"/>
              <w:rPr>
                <w:rFonts w:ascii="Arial" w:hAnsi="Arial" w:cs="Arial"/>
                <w:b/>
                <w:bCs/>
                <w:i w:val="0"/>
                <w:iCs/>
                <w:sz w:val="18"/>
                <w:szCs w:val="18"/>
                <w:lang w:val="en-GB"/>
              </w:rPr>
            </w:pPr>
            <w:r w:rsidRPr="00FC5095">
              <w:rPr>
                <w:rFonts w:ascii="Arial" w:hAnsi="Arial" w:cs="Arial"/>
                <w:b/>
                <w:bCs/>
                <w:i w:val="0"/>
                <w:iCs/>
                <w:sz w:val="18"/>
                <w:szCs w:val="18"/>
                <w:lang w:val="en-GB"/>
              </w:rPr>
              <w:t>Council</w:t>
            </w:r>
          </w:p>
        </w:tc>
        <w:tc>
          <w:tcPr>
            <w:tcW w:w="2310" w:type="dxa"/>
          </w:tcPr>
          <w:p w:rsidR="000F1246" w:rsidRPr="00FC5095" w:rsidRDefault="000F1246" w:rsidP="000F1246">
            <w:pPr>
              <w:pStyle w:val="Texttoreplace"/>
              <w:spacing w:after="120" w:line="240" w:lineRule="auto"/>
              <w:jc w:val="both"/>
              <w:rPr>
                <w:rFonts w:ascii="Arial" w:hAnsi="Arial" w:cs="Arial"/>
                <w:b/>
                <w:bCs/>
                <w:i w:val="0"/>
                <w:iCs/>
                <w:sz w:val="18"/>
                <w:szCs w:val="18"/>
                <w:lang w:val="en-GB"/>
              </w:rPr>
            </w:pPr>
            <w:r w:rsidRPr="00FC5095">
              <w:rPr>
                <w:rFonts w:ascii="Arial" w:hAnsi="Arial" w:cs="Arial"/>
                <w:b/>
                <w:bCs/>
                <w:i w:val="0"/>
                <w:iCs/>
                <w:sz w:val="18"/>
                <w:szCs w:val="18"/>
                <w:lang w:val="en-GB"/>
              </w:rPr>
              <w:t>Car %</w:t>
            </w:r>
          </w:p>
        </w:tc>
        <w:tc>
          <w:tcPr>
            <w:tcW w:w="2311" w:type="dxa"/>
          </w:tcPr>
          <w:p w:rsidR="000F1246" w:rsidRPr="00FC5095" w:rsidRDefault="000F1246" w:rsidP="000F1246">
            <w:pPr>
              <w:pStyle w:val="Texttoreplace"/>
              <w:spacing w:after="120" w:line="240" w:lineRule="auto"/>
              <w:jc w:val="both"/>
              <w:rPr>
                <w:rFonts w:ascii="Arial" w:hAnsi="Arial" w:cs="Arial"/>
                <w:b/>
                <w:bCs/>
                <w:i w:val="0"/>
                <w:iCs/>
                <w:sz w:val="18"/>
                <w:szCs w:val="18"/>
                <w:lang w:val="en-GB"/>
              </w:rPr>
            </w:pPr>
            <w:r w:rsidRPr="00FC5095">
              <w:rPr>
                <w:rFonts w:ascii="Arial" w:hAnsi="Arial" w:cs="Arial"/>
                <w:b/>
                <w:bCs/>
                <w:i w:val="0"/>
                <w:iCs/>
                <w:sz w:val="18"/>
                <w:szCs w:val="18"/>
                <w:lang w:val="en-GB"/>
              </w:rPr>
              <w:t>Public transport %</w:t>
            </w:r>
          </w:p>
        </w:tc>
        <w:tc>
          <w:tcPr>
            <w:tcW w:w="2311" w:type="dxa"/>
          </w:tcPr>
          <w:p w:rsidR="000F1246" w:rsidRPr="00FC5095" w:rsidRDefault="000F1246" w:rsidP="000F1246">
            <w:pPr>
              <w:pStyle w:val="Texttoreplace"/>
              <w:spacing w:after="120" w:line="240" w:lineRule="auto"/>
              <w:jc w:val="both"/>
              <w:rPr>
                <w:rFonts w:ascii="Arial" w:hAnsi="Arial" w:cs="Arial"/>
                <w:b/>
                <w:bCs/>
                <w:i w:val="0"/>
                <w:iCs/>
                <w:sz w:val="18"/>
                <w:szCs w:val="18"/>
                <w:lang w:val="en-GB"/>
              </w:rPr>
            </w:pPr>
            <w:r w:rsidRPr="00FC5095">
              <w:rPr>
                <w:rFonts w:ascii="Arial" w:hAnsi="Arial" w:cs="Arial"/>
                <w:b/>
                <w:bCs/>
                <w:i w:val="0"/>
                <w:iCs/>
                <w:sz w:val="18"/>
                <w:szCs w:val="18"/>
                <w:lang w:val="en-GB"/>
              </w:rPr>
              <w:t>Walking %</w:t>
            </w:r>
          </w:p>
        </w:tc>
      </w:tr>
      <w:tr w:rsidR="000F1246" w:rsidRPr="00FD3C2A" w:rsidTr="000F1246">
        <w:tc>
          <w:tcPr>
            <w:tcW w:w="2310" w:type="dxa"/>
          </w:tcPr>
          <w:p w:rsidR="000F1246" w:rsidRPr="00FC5095" w:rsidRDefault="000F1246" w:rsidP="000F1246">
            <w:pPr>
              <w:pStyle w:val="Texttoreplace"/>
              <w:spacing w:after="120" w:line="240" w:lineRule="auto"/>
              <w:jc w:val="both"/>
              <w:rPr>
                <w:rFonts w:ascii="Arial" w:hAnsi="Arial" w:cs="Arial"/>
                <w:i w:val="0"/>
                <w:iCs/>
                <w:sz w:val="18"/>
                <w:szCs w:val="18"/>
                <w:lang w:val="en-GB"/>
              </w:rPr>
            </w:pPr>
            <w:r w:rsidRPr="00FC5095">
              <w:rPr>
                <w:rFonts w:ascii="Arial" w:hAnsi="Arial" w:cs="Arial"/>
                <w:i w:val="0"/>
                <w:iCs/>
                <w:sz w:val="18"/>
                <w:szCs w:val="18"/>
                <w:lang w:val="en-GB"/>
              </w:rPr>
              <w:t>Greater Hobart</w:t>
            </w:r>
          </w:p>
        </w:tc>
        <w:tc>
          <w:tcPr>
            <w:tcW w:w="2310" w:type="dxa"/>
          </w:tcPr>
          <w:p w:rsidR="000F1246" w:rsidRPr="00FC5095" w:rsidRDefault="000F1246" w:rsidP="000F1246">
            <w:pPr>
              <w:pStyle w:val="Texttoreplace"/>
              <w:spacing w:after="120" w:line="240" w:lineRule="auto"/>
              <w:jc w:val="both"/>
              <w:rPr>
                <w:rFonts w:ascii="Arial" w:hAnsi="Arial" w:cs="Arial"/>
                <w:i w:val="0"/>
                <w:iCs/>
                <w:sz w:val="18"/>
                <w:szCs w:val="18"/>
                <w:lang w:val="en-GB"/>
              </w:rPr>
            </w:pPr>
            <w:r w:rsidRPr="00FC5095">
              <w:rPr>
                <w:rFonts w:ascii="Arial" w:hAnsi="Arial" w:cs="Arial"/>
                <w:i w:val="0"/>
                <w:iCs/>
                <w:sz w:val="18"/>
                <w:szCs w:val="18"/>
                <w:lang w:val="en-GB"/>
              </w:rPr>
              <w:t>74.5</w:t>
            </w:r>
          </w:p>
        </w:tc>
        <w:tc>
          <w:tcPr>
            <w:tcW w:w="2311" w:type="dxa"/>
          </w:tcPr>
          <w:p w:rsidR="000F1246" w:rsidRPr="00FC5095" w:rsidRDefault="000F1246" w:rsidP="000F1246">
            <w:pPr>
              <w:pStyle w:val="Texttoreplace"/>
              <w:spacing w:after="120" w:line="240" w:lineRule="auto"/>
              <w:jc w:val="both"/>
              <w:rPr>
                <w:rFonts w:ascii="Arial" w:hAnsi="Arial" w:cs="Arial"/>
                <w:i w:val="0"/>
                <w:iCs/>
                <w:sz w:val="18"/>
                <w:szCs w:val="18"/>
                <w:lang w:val="en-GB"/>
              </w:rPr>
            </w:pPr>
            <w:r w:rsidRPr="00FC5095">
              <w:rPr>
                <w:rFonts w:ascii="Arial" w:hAnsi="Arial" w:cs="Arial"/>
                <w:i w:val="0"/>
                <w:iCs/>
                <w:sz w:val="18"/>
                <w:szCs w:val="18"/>
                <w:lang w:val="en-GB"/>
              </w:rPr>
              <w:t xml:space="preserve">4.0 </w:t>
            </w:r>
          </w:p>
        </w:tc>
        <w:tc>
          <w:tcPr>
            <w:tcW w:w="2311" w:type="dxa"/>
          </w:tcPr>
          <w:p w:rsidR="000F1246" w:rsidRPr="00FC5095" w:rsidRDefault="000F1246" w:rsidP="000F1246">
            <w:pPr>
              <w:pStyle w:val="Texttoreplace"/>
              <w:spacing w:after="120" w:line="240" w:lineRule="auto"/>
              <w:jc w:val="both"/>
              <w:rPr>
                <w:rFonts w:ascii="Arial" w:hAnsi="Arial" w:cs="Arial"/>
                <w:i w:val="0"/>
                <w:iCs/>
                <w:sz w:val="18"/>
                <w:szCs w:val="18"/>
                <w:lang w:val="en-GB"/>
              </w:rPr>
            </w:pPr>
            <w:r w:rsidRPr="00FC5095">
              <w:rPr>
                <w:rFonts w:ascii="Arial" w:hAnsi="Arial" w:cs="Arial"/>
                <w:i w:val="0"/>
                <w:iCs/>
                <w:sz w:val="18"/>
                <w:szCs w:val="18"/>
                <w:lang w:val="en-GB"/>
              </w:rPr>
              <w:t>20.2</w:t>
            </w:r>
          </w:p>
        </w:tc>
      </w:tr>
      <w:tr w:rsidR="000F1246" w:rsidRPr="00FD3C2A" w:rsidTr="000F1246">
        <w:tc>
          <w:tcPr>
            <w:tcW w:w="2310" w:type="dxa"/>
          </w:tcPr>
          <w:p w:rsidR="000F1246" w:rsidRPr="00FC5095" w:rsidRDefault="000F1246" w:rsidP="000F1246">
            <w:pPr>
              <w:pStyle w:val="Texttoreplace"/>
              <w:spacing w:after="120" w:line="240" w:lineRule="auto"/>
              <w:jc w:val="both"/>
              <w:rPr>
                <w:rFonts w:ascii="Arial" w:hAnsi="Arial" w:cs="Arial"/>
                <w:i w:val="0"/>
                <w:iCs/>
                <w:sz w:val="18"/>
                <w:szCs w:val="18"/>
                <w:lang w:val="en-GB"/>
              </w:rPr>
            </w:pPr>
            <w:proofErr w:type="spellStart"/>
            <w:r w:rsidRPr="00FC5095">
              <w:rPr>
                <w:rFonts w:ascii="Arial" w:hAnsi="Arial" w:cs="Arial"/>
                <w:i w:val="0"/>
                <w:iCs/>
                <w:sz w:val="18"/>
                <w:szCs w:val="18"/>
                <w:lang w:val="en-GB"/>
              </w:rPr>
              <w:t>Glenorchy</w:t>
            </w:r>
            <w:proofErr w:type="spellEnd"/>
            <w:r w:rsidRPr="00FC5095">
              <w:rPr>
                <w:rFonts w:ascii="Arial" w:hAnsi="Arial" w:cs="Arial"/>
                <w:i w:val="0"/>
                <w:iCs/>
                <w:sz w:val="18"/>
                <w:szCs w:val="18"/>
                <w:lang w:val="en-GB"/>
              </w:rPr>
              <w:t xml:space="preserve"> </w:t>
            </w:r>
          </w:p>
        </w:tc>
        <w:tc>
          <w:tcPr>
            <w:tcW w:w="2310" w:type="dxa"/>
          </w:tcPr>
          <w:p w:rsidR="000F1246" w:rsidRPr="00FC5095" w:rsidRDefault="000F1246" w:rsidP="000F1246">
            <w:pPr>
              <w:pStyle w:val="Texttoreplace"/>
              <w:spacing w:after="120" w:line="240" w:lineRule="auto"/>
              <w:jc w:val="both"/>
              <w:rPr>
                <w:rFonts w:ascii="Arial" w:hAnsi="Arial" w:cs="Arial"/>
                <w:i w:val="0"/>
                <w:iCs/>
                <w:sz w:val="18"/>
                <w:szCs w:val="18"/>
                <w:lang w:val="en-GB"/>
              </w:rPr>
            </w:pPr>
            <w:r w:rsidRPr="00FC5095">
              <w:rPr>
                <w:rFonts w:ascii="Arial" w:hAnsi="Arial" w:cs="Arial"/>
                <w:i w:val="0"/>
                <w:iCs/>
                <w:sz w:val="18"/>
                <w:szCs w:val="18"/>
                <w:lang w:val="en-GB"/>
              </w:rPr>
              <w:t>75.7</w:t>
            </w:r>
          </w:p>
        </w:tc>
        <w:tc>
          <w:tcPr>
            <w:tcW w:w="2311" w:type="dxa"/>
          </w:tcPr>
          <w:p w:rsidR="000F1246" w:rsidRPr="00FC5095" w:rsidRDefault="000F1246" w:rsidP="000F1246">
            <w:pPr>
              <w:pStyle w:val="Texttoreplace"/>
              <w:spacing w:after="120" w:line="240" w:lineRule="auto"/>
              <w:jc w:val="both"/>
              <w:rPr>
                <w:rFonts w:ascii="Arial" w:hAnsi="Arial" w:cs="Arial"/>
                <w:i w:val="0"/>
                <w:iCs/>
                <w:sz w:val="18"/>
                <w:szCs w:val="18"/>
                <w:lang w:val="en-GB"/>
              </w:rPr>
            </w:pPr>
            <w:r w:rsidRPr="00FC5095">
              <w:rPr>
                <w:rFonts w:ascii="Arial" w:hAnsi="Arial" w:cs="Arial"/>
                <w:i w:val="0"/>
                <w:iCs/>
                <w:sz w:val="18"/>
                <w:szCs w:val="18"/>
                <w:lang w:val="en-GB"/>
              </w:rPr>
              <w:t xml:space="preserve">4.7 </w:t>
            </w:r>
          </w:p>
        </w:tc>
        <w:tc>
          <w:tcPr>
            <w:tcW w:w="2311" w:type="dxa"/>
          </w:tcPr>
          <w:p w:rsidR="000F1246" w:rsidRPr="00FC5095" w:rsidRDefault="000F1246" w:rsidP="000F1246">
            <w:pPr>
              <w:pStyle w:val="Texttoreplace"/>
              <w:spacing w:after="120" w:line="240" w:lineRule="auto"/>
              <w:jc w:val="both"/>
              <w:rPr>
                <w:rFonts w:ascii="Arial" w:hAnsi="Arial" w:cs="Arial"/>
                <w:i w:val="0"/>
                <w:iCs/>
                <w:sz w:val="18"/>
                <w:szCs w:val="18"/>
                <w:lang w:val="en-GB"/>
              </w:rPr>
            </w:pPr>
            <w:r w:rsidRPr="00FC5095">
              <w:rPr>
                <w:rFonts w:ascii="Arial" w:hAnsi="Arial" w:cs="Arial"/>
                <w:i w:val="0"/>
                <w:iCs/>
                <w:sz w:val="18"/>
                <w:szCs w:val="18"/>
                <w:lang w:val="en-GB"/>
              </w:rPr>
              <w:t>17.9</w:t>
            </w:r>
          </w:p>
        </w:tc>
      </w:tr>
      <w:tr w:rsidR="000F1246" w:rsidRPr="00FD3C2A" w:rsidTr="000F1246">
        <w:tc>
          <w:tcPr>
            <w:tcW w:w="2310" w:type="dxa"/>
          </w:tcPr>
          <w:p w:rsidR="000F1246" w:rsidRPr="00FC5095" w:rsidRDefault="000F1246" w:rsidP="000F1246">
            <w:pPr>
              <w:pStyle w:val="Texttoreplace"/>
              <w:spacing w:after="120" w:line="240" w:lineRule="auto"/>
              <w:jc w:val="both"/>
              <w:rPr>
                <w:rFonts w:ascii="Arial" w:hAnsi="Arial" w:cs="Arial"/>
                <w:i w:val="0"/>
                <w:iCs/>
                <w:sz w:val="18"/>
                <w:szCs w:val="18"/>
                <w:lang w:val="en-GB"/>
              </w:rPr>
            </w:pPr>
            <w:r w:rsidRPr="00FC5095">
              <w:rPr>
                <w:rFonts w:ascii="Arial" w:hAnsi="Arial" w:cs="Arial"/>
                <w:i w:val="0"/>
                <w:iCs/>
                <w:sz w:val="18"/>
                <w:szCs w:val="18"/>
                <w:lang w:val="en-GB"/>
              </w:rPr>
              <w:t xml:space="preserve">Hobart </w:t>
            </w:r>
          </w:p>
        </w:tc>
        <w:tc>
          <w:tcPr>
            <w:tcW w:w="2310" w:type="dxa"/>
          </w:tcPr>
          <w:p w:rsidR="000F1246" w:rsidRPr="00FC5095" w:rsidRDefault="000F1246" w:rsidP="000F1246">
            <w:pPr>
              <w:pStyle w:val="Texttoreplace"/>
              <w:spacing w:after="120" w:line="240" w:lineRule="auto"/>
              <w:jc w:val="both"/>
              <w:rPr>
                <w:rFonts w:ascii="Arial" w:hAnsi="Arial" w:cs="Arial"/>
                <w:i w:val="0"/>
                <w:iCs/>
                <w:sz w:val="18"/>
                <w:szCs w:val="18"/>
                <w:lang w:val="en-GB"/>
              </w:rPr>
            </w:pPr>
            <w:r w:rsidRPr="00FC5095">
              <w:rPr>
                <w:rFonts w:ascii="Arial" w:hAnsi="Arial" w:cs="Arial"/>
                <w:i w:val="0"/>
                <w:iCs/>
                <w:sz w:val="18"/>
                <w:szCs w:val="18"/>
                <w:lang w:val="en-GB"/>
              </w:rPr>
              <w:t>66.0</w:t>
            </w:r>
          </w:p>
        </w:tc>
        <w:tc>
          <w:tcPr>
            <w:tcW w:w="2311" w:type="dxa"/>
          </w:tcPr>
          <w:p w:rsidR="000F1246" w:rsidRPr="00FC5095" w:rsidRDefault="000F1246" w:rsidP="000F1246">
            <w:pPr>
              <w:pStyle w:val="Texttoreplace"/>
              <w:spacing w:after="120" w:line="240" w:lineRule="auto"/>
              <w:jc w:val="both"/>
              <w:rPr>
                <w:rFonts w:ascii="Arial" w:hAnsi="Arial" w:cs="Arial"/>
                <w:i w:val="0"/>
                <w:iCs/>
                <w:sz w:val="18"/>
                <w:szCs w:val="18"/>
                <w:lang w:val="en-GB"/>
              </w:rPr>
            </w:pPr>
            <w:r w:rsidRPr="00FC5095">
              <w:rPr>
                <w:rFonts w:ascii="Arial" w:hAnsi="Arial" w:cs="Arial"/>
                <w:i w:val="0"/>
                <w:iCs/>
                <w:sz w:val="18"/>
                <w:szCs w:val="18"/>
                <w:lang w:val="en-GB"/>
              </w:rPr>
              <w:t xml:space="preserve">2.4 </w:t>
            </w:r>
          </w:p>
        </w:tc>
        <w:tc>
          <w:tcPr>
            <w:tcW w:w="2311" w:type="dxa"/>
          </w:tcPr>
          <w:p w:rsidR="000F1246" w:rsidRPr="00FC5095" w:rsidRDefault="000F1246" w:rsidP="000F1246">
            <w:pPr>
              <w:pStyle w:val="Texttoreplace"/>
              <w:spacing w:after="120" w:line="240" w:lineRule="auto"/>
              <w:jc w:val="both"/>
              <w:rPr>
                <w:rFonts w:ascii="Arial" w:hAnsi="Arial" w:cs="Arial"/>
                <w:i w:val="0"/>
                <w:iCs/>
                <w:sz w:val="18"/>
                <w:szCs w:val="18"/>
                <w:lang w:val="en-GB"/>
              </w:rPr>
            </w:pPr>
            <w:r w:rsidRPr="00FC5095">
              <w:rPr>
                <w:rFonts w:ascii="Arial" w:hAnsi="Arial" w:cs="Arial"/>
                <w:i w:val="0"/>
                <w:iCs/>
                <w:sz w:val="18"/>
                <w:szCs w:val="18"/>
                <w:lang w:val="en-GB"/>
              </w:rPr>
              <w:t>30.2</w:t>
            </w:r>
          </w:p>
        </w:tc>
      </w:tr>
    </w:tbl>
    <w:p w:rsidR="000F1246" w:rsidRDefault="000F1246" w:rsidP="000F1246">
      <w:pPr>
        <w:pStyle w:val="Heading3"/>
        <w:rPr>
          <w:lang w:val="en-GB"/>
        </w:rPr>
      </w:pPr>
      <w:bookmarkStart w:id="45" w:name="_Toc329331950"/>
      <w:r>
        <w:rPr>
          <w:lang w:val="en-GB"/>
        </w:rPr>
        <w:t>When do people travel?</w:t>
      </w:r>
      <w:bookmarkEnd w:id="45"/>
    </w:p>
    <w:p w:rsidR="000F1246" w:rsidRDefault="000F1246" w:rsidP="000F1246">
      <w:pPr>
        <w:autoSpaceDE w:val="0"/>
        <w:autoSpaceDN w:val="0"/>
        <w:adjustRightInd w:val="0"/>
        <w:spacing w:after="120" w:line="240" w:lineRule="auto"/>
        <w:jc w:val="both"/>
      </w:pPr>
      <w:r w:rsidRPr="001209E2">
        <w:rPr>
          <w:color w:val="000000"/>
        </w:rPr>
        <w:t xml:space="preserve">Generally, there </w:t>
      </w:r>
      <w:r>
        <w:rPr>
          <w:color w:val="000000"/>
        </w:rPr>
        <w:t>are a</w:t>
      </w:r>
      <w:r w:rsidRPr="001209E2">
        <w:rPr>
          <w:color w:val="000000"/>
        </w:rPr>
        <w:t xml:space="preserve"> higher numbers of trips undertaken on a typical weekday compared to weekends. </w:t>
      </w:r>
      <w:r>
        <w:t xml:space="preserve">On weekdays, the highest </w:t>
      </w:r>
      <w:proofErr w:type="gramStart"/>
      <w:r>
        <w:t>number of trips occur</w:t>
      </w:r>
      <w:proofErr w:type="gramEnd"/>
      <w:r>
        <w:t xml:space="preserve"> in the AM peak, closely followed by the PM peak. </w:t>
      </w:r>
    </w:p>
    <w:p w:rsidR="000F1246" w:rsidRDefault="000F1246" w:rsidP="000F1246">
      <w:pPr>
        <w:autoSpaceDE w:val="0"/>
        <w:autoSpaceDN w:val="0"/>
        <w:adjustRightInd w:val="0"/>
        <w:spacing w:after="120" w:line="240" w:lineRule="auto"/>
        <w:jc w:val="both"/>
      </w:pPr>
      <w:r>
        <w:t>Public transport service frequency is much higher in the AM and PM peak periods to cater for the higher passenger volumes.</w:t>
      </w:r>
    </w:p>
    <w:p w:rsidR="00935B0B" w:rsidRDefault="00935B0B">
      <w:pPr>
        <w:rPr>
          <w:b/>
          <w:bCs/>
          <w:color w:val="4F81BD" w:themeColor="accent1"/>
          <w:sz w:val="18"/>
          <w:szCs w:val="18"/>
        </w:rPr>
      </w:pPr>
      <w:r>
        <w:br w:type="page"/>
      </w:r>
    </w:p>
    <w:p w:rsidR="000F1246" w:rsidRDefault="000F1246" w:rsidP="000F1246">
      <w:pPr>
        <w:pStyle w:val="Caption"/>
        <w:rPr>
          <w:color w:val="000000"/>
        </w:rPr>
      </w:pPr>
      <w:r>
        <w:lastRenderedPageBreak/>
        <w:t xml:space="preserve">Figure </w:t>
      </w:r>
      <w:fldSimple w:instr=" SEQ Figure \* ARABIC ">
        <w:r w:rsidR="00361A55">
          <w:rPr>
            <w:noProof/>
          </w:rPr>
          <w:t>14</w:t>
        </w:r>
      </w:fldSimple>
      <w:r>
        <w:t xml:space="preserve"> Percentage of trips taken at different times of the day (weekdays by hour)</w:t>
      </w:r>
    </w:p>
    <w:p w:rsidR="00FC5095" w:rsidRDefault="00935B0B" w:rsidP="000F1246">
      <w:pPr>
        <w:pStyle w:val="Texttoreplace"/>
        <w:spacing w:after="120" w:line="240" w:lineRule="auto"/>
        <w:jc w:val="both"/>
        <w:rPr>
          <w:rFonts w:cs="Arial"/>
          <w:i w:val="0"/>
          <w:iCs/>
          <w:sz w:val="22"/>
          <w:lang w:val="en-GB"/>
        </w:rPr>
      </w:pPr>
      <w:r w:rsidRPr="00935B0B">
        <w:rPr>
          <w:rFonts w:cs="Arial"/>
          <w:i w:val="0"/>
          <w:iCs/>
          <w:noProof/>
          <w:sz w:val="22"/>
          <w:lang w:eastAsia="en-AU"/>
        </w:rPr>
        <w:drawing>
          <wp:inline distT="0" distB="0" distL="0" distR="0">
            <wp:extent cx="5229225" cy="37433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1246" w:rsidRPr="00FC5095" w:rsidRDefault="000F1246" w:rsidP="000F1246">
      <w:pPr>
        <w:pStyle w:val="Texttoreplace"/>
        <w:spacing w:after="120" w:line="240" w:lineRule="auto"/>
        <w:jc w:val="both"/>
        <w:rPr>
          <w:rFonts w:cs="Arial"/>
          <w:i w:val="0"/>
          <w:iCs/>
          <w:sz w:val="22"/>
          <w:lang w:val="en-GB"/>
        </w:rPr>
      </w:pPr>
      <w:r w:rsidRPr="00FC5095">
        <w:rPr>
          <w:rFonts w:ascii="Arial" w:hAnsi="Arial" w:cs="Arial"/>
          <w:i w:val="0"/>
          <w:iCs/>
          <w:sz w:val="18"/>
          <w:szCs w:val="18"/>
          <w:lang w:val="en-GB"/>
        </w:rPr>
        <w:t>Source: Greater Hobart Household Travel Survey, 2008/09</w:t>
      </w:r>
    </w:p>
    <w:p w:rsidR="000F1246" w:rsidRDefault="000F1246" w:rsidP="000F1246">
      <w:pPr>
        <w:pStyle w:val="Heading3"/>
      </w:pPr>
      <w:bookmarkStart w:id="46" w:name="_Toc329331951"/>
      <w:r>
        <w:t>Why do people travel?</w:t>
      </w:r>
      <w:bookmarkEnd w:id="46"/>
    </w:p>
    <w:p w:rsidR="000F1246" w:rsidRDefault="000F1246" w:rsidP="000F1246">
      <w:pPr>
        <w:autoSpaceDE w:val="0"/>
        <w:autoSpaceDN w:val="0"/>
        <w:adjustRightInd w:val="0"/>
        <w:spacing w:after="120" w:line="240" w:lineRule="auto"/>
        <w:jc w:val="both"/>
        <w:rPr>
          <w:color w:val="000000"/>
          <w:sz w:val="23"/>
          <w:szCs w:val="23"/>
        </w:rPr>
      </w:pPr>
      <w:r>
        <w:rPr>
          <w:color w:val="000000"/>
          <w:sz w:val="23"/>
          <w:szCs w:val="23"/>
        </w:rPr>
        <w:t>During weekdays, work is the largest proportion of people’s trip making purposes, followed by shopping and recreation and entertainment:</w:t>
      </w:r>
    </w:p>
    <w:p w:rsidR="000F1246" w:rsidRDefault="000F1246" w:rsidP="00FC5095">
      <w:pPr>
        <w:pStyle w:val="ListParagraph"/>
        <w:numPr>
          <w:ilvl w:val="0"/>
          <w:numId w:val="17"/>
        </w:numPr>
        <w:autoSpaceDE w:val="0"/>
        <w:autoSpaceDN w:val="0"/>
        <w:adjustRightInd w:val="0"/>
        <w:spacing w:after="120" w:line="240" w:lineRule="auto"/>
        <w:contextualSpacing w:val="0"/>
        <w:jc w:val="both"/>
        <w:rPr>
          <w:color w:val="000000"/>
          <w:sz w:val="23"/>
          <w:szCs w:val="23"/>
        </w:rPr>
      </w:pPr>
      <w:r>
        <w:rPr>
          <w:color w:val="000000"/>
          <w:sz w:val="23"/>
          <w:szCs w:val="23"/>
        </w:rPr>
        <w:t>Hobart City Council:</w:t>
      </w:r>
    </w:p>
    <w:p w:rsidR="000F1246" w:rsidRDefault="000F1246" w:rsidP="00FC5095">
      <w:pPr>
        <w:pStyle w:val="ListParagraph"/>
        <w:numPr>
          <w:ilvl w:val="1"/>
          <w:numId w:val="17"/>
        </w:numPr>
        <w:autoSpaceDE w:val="0"/>
        <w:autoSpaceDN w:val="0"/>
        <w:adjustRightInd w:val="0"/>
        <w:spacing w:after="120" w:line="240" w:lineRule="auto"/>
        <w:contextualSpacing w:val="0"/>
        <w:jc w:val="both"/>
        <w:rPr>
          <w:color w:val="000000"/>
          <w:sz w:val="23"/>
          <w:szCs w:val="23"/>
        </w:rPr>
      </w:pPr>
      <w:r>
        <w:rPr>
          <w:color w:val="000000"/>
          <w:sz w:val="23"/>
          <w:szCs w:val="23"/>
        </w:rPr>
        <w:t>Work: 31.6 percent.</w:t>
      </w:r>
    </w:p>
    <w:p w:rsidR="000F1246" w:rsidRDefault="000F1246" w:rsidP="00FC5095">
      <w:pPr>
        <w:pStyle w:val="ListParagraph"/>
        <w:numPr>
          <w:ilvl w:val="1"/>
          <w:numId w:val="17"/>
        </w:numPr>
        <w:autoSpaceDE w:val="0"/>
        <w:autoSpaceDN w:val="0"/>
        <w:adjustRightInd w:val="0"/>
        <w:spacing w:after="120" w:line="240" w:lineRule="auto"/>
        <w:contextualSpacing w:val="0"/>
        <w:jc w:val="both"/>
        <w:rPr>
          <w:color w:val="000000"/>
          <w:sz w:val="23"/>
          <w:szCs w:val="23"/>
        </w:rPr>
      </w:pPr>
      <w:r>
        <w:rPr>
          <w:color w:val="000000"/>
          <w:sz w:val="23"/>
          <w:szCs w:val="23"/>
        </w:rPr>
        <w:t>Shopping: 19.8 percent.</w:t>
      </w:r>
    </w:p>
    <w:p w:rsidR="000F1246" w:rsidRPr="00B93F1C" w:rsidRDefault="000F1246" w:rsidP="00FC5095">
      <w:pPr>
        <w:pStyle w:val="ListParagraph"/>
        <w:numPr>
          <w:ilvl w:val="1"/>
          <w:numId w:val="17"/>
        </w:numPr>
        <w:autoSpaceDE w:val="0"/>
        <w:autoSpaceDN w:val="0"/>
        <w:adjustRightInd w:val="0"/>
        <w:spacing w:after="120" w:line="240" w:lineRule="auto"/>
        <w:contextualSpacing w:val="0"/>
        <w:jc w:val="both"/>
        <w:rPr>
          <w:color w:val="000000"/>
          <w:sz w:val="23"/>
          <w:szCs w:val="23"/>
        </w:rPr>
      </w:pPr>
      <w:r>
        <w:rPr>
          <w:color w:val="000000"/>
          <w:sz w:val="23"/>
          <w:szCs w:val="23"/>
        </w:rPr>
        <w:t>Recreation and entertainment: 20.6 percent.</w:t>
      </w:r>
    </w:p>
    <w:p w:rsidR="000F1246" w:rsidRDefault="000F1246" w:rsidP="00FC5095">
      <w:pPr>
        <w:pStyle w:val="ListParagraph"/>
        <w:numPr>
          <w:ilvl w:val="0"/>
          <w:numId w:val="17"/>
        </w:numPr>
        <w:autoSpaceDE w:val="0"/>
        <w:autoSpaceDN w:val="0"/>
        <w:adjustRightInd w:val="0"/>
        <w:spacing w:after="120" w:line="240" w:lineRule="auto"/>
        <w:contextualSpacing w:val="0"/>
        <w:jc w:val="both"/>
        <w:rPr>
          <w:color w:val="000000"/>
          <w:sz w:val="23"/>
          <w:szCs w:val="23"/>
        </w:rPr>
      </w:pPr>
      <w:r>
        <w:rPr>
          <w:color w:val="000000"/>
          <w:sz w:val="23"/>
          <w:szCs w:val="23"/>
        </w:rPr>
        <w:t>Glenorchy City Council:</w:t>
      </w:r>
    </w:p>
    <w:p w:rsidR="000F1246" w:rsidRDefault="000F1246" w:rsidP="00FC5095">
      <w:pPr>
        <w:pStyle w:val="ListParagraph"/>
        <w:numPr>
          <w:ilvl w:val="1"/>
          <w:numId w:val="17"/>
        </w:numPr>
        <w:autoSpaceDE w:val="0"/>
        <w:autoSpaceDN w:val="0"/>
        <w:adjustRightInd w:val="0"/>
        <w:spacing w:after="120" w:line="240" w:lineRule="auto"/>
        <w:contextualSpacing w:val="0"/>
        <w:jc w:val="both"/>
        <w:rPr>
          <w:color w:val="000000"/>
          <w:sz w:val="23"/>
          <w:szCs w:val="23"/>
        </w:rPr>
      </w:pPr>
      <w:r>
        <w:rPr>
          <w:color w:val="000000"/>
          <w:sz w:val="23"/>
          <w:szCs w:val="23"/>
        </w:rPr>
        <w:t>Work: 30.1 percent.</w:t>
      </w:r>
    </w:p>
    <w:p w:rsidR="000F1246" w:rsidRDefault="000F1246" w:rsidP="00FC5095">
      <w:pPr>
        <w:pStyle w:val="ListParagraph"/>
        <w:numPr>
          <w:ilvl w:val="1"/>
          <w:numId w:val="17"/>
        </w:numPr>
        <w:autoSpaceDE w:val="0"/>
        <w:autoSpaceDN w:val="0"/>
        <w:adjustRightInd w:val="0"/>
        <w:spacing w:after="120" w:line="240" w:lineRule="auto"/>
        <w:contextualSpacing w:val="0"/>
        <w:jc w:val="both"/>
        <w:rPr>
          <w:color w:val="000000"/>
          <w:sz w:val="23"/>
          <w:szCs w:val="23"/>
        </w:rPr>
      </w:pPr>
      <w:r>
        <w:rPr>
          <w:color w:val="000000"/>
          <w:sz w:val="23"/>
          <w:szCs w:val="23"/>
        </w:rPr>
        <w:t>Shopping: 22.3 percent.</w:t>
      </w:r>
    </w:p>
    <w:p w:rsidR="000F1246" w:rsidRPr="00B93F1C" w:rsidRDefault="000F1246" w:rsidP="00FC5095">
      <w:pPr>
        <w:pStyle w:val="ListParagraph"/>
        <w:numPr>
          <w:ilvl w:val="1"/>
          <w:numId w:val="17"/>
        </w:numPr>
        <w:autoSpaceDE w:val="0"/>
        <w:autoSpaceDN w:val="0"/>
        <w:adjustRightInd w:val="0"/>
        <w:spacing w:after="120" w:line="240" w:lineRule="auto"/>
        <w:contextualSpacing w:val="0"/>
        <w:jc w:val="both"/>
        <w:rPr>
          <w:color w:val="000000"/>
          <w:sz w:val="23"/>
          <w:szCs w:val="23"/>
        </w:rPr>
      </w:pPr>
      <w:r>
        <w:rPr>
          <w:color w:val="000000"/>
          <w:sz w:val="23"/>
          <w:szCs w:val="23"/>
        </w:rPr>
        <w:t>Recreation and entertainment: 14.1 percent.</w:t>
      </w:r>
    </w:p>
    <w:p w:rsidR="000F1246" w:rsidRDefault="000F1246" w:rsidP="000F1246">
      <w:pPr>
        <w:autoSpaceDE w:val="0"/>
        <w:autoSpaceDN w:val="0"/>
        <w:adjustRightInd w:val="0"/>
        <w:spacing w:after="120" w:line="240" w:lineRule="auto"/>
        <w:jc w:val="both"/>
        <w:rPr>
          <w:color w:val="000000"/>
        </w:rPr>
      </w:pPr>
      <w:r>
        <w:rPr>
          <w:color w:val="000000"/>
        </w:rPr>
        <w:t>There is little variation in trip-making purposes between Councils, except more people in Hobart travel for recreation and entertainment purposes.</w:t>
      </w:r>
    </w:p>
    <w:p w:rsidR="000F1246" w:rsidRDefault="000F1246" w:rsidP="000F1246">
      <w:pPr>
        <w:autoSpaceDE w:val="0"/>
        <w:autoSpaceDN w:val="0"/>
        <w:adjustRightInd w:val="0"/>
        <w:spacing w:after="120" w:line="240" w:lineRule="auto"/>
        <w:jc w:val="both"/>
        <w:rPr>
          <w:color w:val="000000"/>
        </w:rPr>
      </w:pPr>
      <w:r>
        <w:rPr>
          <w:color w:val="000000"/>
        </w:rPr>
        <w:t>58 percent of work trips commence in the AM peak, while 74 percent of shopping trips commence during the inter-peak. For Glenorchy residents this shows the importance of the Transit Corridor during the inter-peak for shopping purposes.</w:t>
      </w:r>
    </w:p>
    <w:p w:rsidR="000F1246" w:rsidRDefault="000F1246" w:rsidP="000F1246">
      <w:pPr>
        <w:pStyle w:val="Heading3"/>
      </w:pPr>
      <w:bookmarkStart w:id="47" w:name="_Toc329331952"/>
      <w:r>
        <w:lastRenderedPageBreak/>
        <w:t>What mode do people use to travel for different trip purposes?</w:t>
      </w:r>
      <w:bookmarkEnd w:id="47"/>
    </w:p>
    <w:p w:rsidR="000F1246" w:rsidRDefault="000F1246" w:rsidP="000F1246">
      <w:pPr>
        <w:keepNext/>
        <w:spacing w:after="120" w:line="240" w:lineRule="auto"/>
        <w:jc w:val="both"/>
        <w:rPr>
          <w:color w:val="000000"/>
        </w:rPr>
      </w:pPr>
      <w:r>
        <w:rPr>
          <w:color w:val="000000"/>
        </w:rPr>
        <w:t>A greater percentage of people use public transport to travel to education than for any other trip making purpose:</w:t>
      </w:r>
    </w:p>
    <w:p w:rsidR="000F1246" w:rsidRDefault="000F1246" w:rsidP="00FC5095">
      <w:pPr>
        <w:pStyle w:val="ListParagraph"/>
        <w:keepNext/>
        <w:numPr>
          <w:ilvl w:val="0"/>
          <w:numId w:val="18"/>
        </w:numPr>
        <w:spacing w:after="120" w:line="240" w:lineRule="auto"/>
        <w:contextualSpacing w:val="0"/>
        <w:jc w:val="both"/>
        <w:rPr>
          <w:color w:val="000000"/>
        </w:rPr>
      </w:pPr>
      <w:r>
        <w:rPr>
          <w:color w:val="000000"/>
        </w:rPr>
        <w:t>Glenorchy: 14 percent.</w:t>
      </w:r>
    </w:p>
    <w:p w:rsidR="000F1246" w:rsidRDefault="000F1246" w:rsidP="00FC5095">
      <w:pPr>
        <w:pStyle w:val="ListParagraph"/>
        <w:keepNext/>
        <w:numPr>
          <w:ilvl w:val="0"/>
          <w:numId w:val="18"/>
        </w:numPr>
        <w:spacing w:after="120" w:line="240" w:lineRule="auto"/>
        <w:contextualSpacing w:val="0"/>
        <w:jc w:val="both"/>
        <w:rPr>
          <w:color w:val="000000"/>
        </w:rPr>
      </w:pPr>
      <w:r>
        <w:rPr>
          <w:color w:val="000000"/>
        </w:rPr>
        <w:t>Hobart: 14 percent.</w:t>
      </w:r>
    </w:p>
    <w:p w:rsidR="000F1246" w:rsidRDefault="000F1246" w:rsidP="000F1246">
      <w:pPr>
        <w:keepNext/>
        <w:spacing w:after="120" w:line="240" w:lineRule="auto"/>
        <w:jc w:val="both"/>
        <w:rPr>
          <w:color w:val="000000"/>
        </w:rPr>
      </w:pPr>
      <w:r>
        <w:rPr>
          <w:color w:val="000000"/>
        </w:rPr>
        <w:t>Both Glenorchy and Hobart have five percent of people using public transport to travel to work.</w:t>
      </w:r>
    </w:p>
    <w:p w:rsidR="00FC5095" w:rsidRDefault="000F1246" w:rsidP="00935B0B">
      <w:pPr>
        <w:keepNext/>
        <w:spacing w:after="120" w:line="240" w:lineRule="auto"/>
        <w:jc w:val="both"/>
        <w:rPr>
          <w:color w:val="000000"/>
        </w:rPr>
      </w:pPr>
      <w:r>
        <w:rPr>
          <w:color w:val="000000"/>
        </w:rPr>
        <w:t>Glenorchy has four percent of people using public transport</w:t>
      </w:r>
      <w:r w:rsidR="00BC679D">
        <w:rPr>
          <w:color w:val="000000"/>
        </w:rPr>
        <w:t xml:space="preserve"> for shopping, while Hobart has </w:t>
      </w:r>
      <w:r>
        <w:rPr>
          <w:color w:val="000000"/>
        </w:rPr>
        <w:t>only one percent.</w:t>
      </w:r>
    </w:p>
    <w:p w:rsidR="000F1246" w:rsidRDefault="000F1246" w:rsidP="000F1246">
      <w:pPr>
        <w:pStyle w:val="Caption"/>
        <w:spacing w:after="0"/>
        <w:rPr>
          <w:color w:val="0070C0"/>
        </w:rPr>
      </w:pPr>
      <w:r>
        <w:t xml:space="preserve">Figure </w:t>
      </w:r>
      <w:fldSimple w:instr=" SEQ Figure \* ARABIC ">
        <w:r w:rsidR="00361A55">
          <w:rPr>
            <w:noProof/>
          </w:rPr>
          <w:t>15</w:t>
        </w:r>
      </w:fldSimple>
      <w:r>
        <w:t xml:space="preserve"> </w:t>
      </w:r>
      <w:r w:rsidRPr="001B2FDE">
        <w:rPr>
          <w:color w:val="0070C0"/>
        </w:rPr>
        <w:t>Travel mode for trip types, Glenorchy residents (weekdays)</w:t>
      </w:r>
    </w:p>
    <w:p w:rsidR="000F1246" w:rsidRPr="00C9415F" w:rsidRDefault="000F1246" w:rsidP="000F1246">
      <w:pPr>
        <w:spacing w:after="120" w:line="240" w:lineRule="auto"/>
      </w:pPr>
    </w:p>
    <w:p w:rsidR="000F1246" w:rsidRDefault="000F1246" w:rsidP="000F1246">
      <w:pPr>
        <w:rPr>
          <w:b/>
          <w:bCs/>
        </w:rPr>
      </w:pPr>
      <w:r w:rsidRPr="001B2FDE">
        <w:rPr>
          <w:b/>
          <w:bCs/>
        </w:rPr>
        <w:t xml:space="preserve"> </w:t>
      </w:r>
      <w:r w:rsidR="00935B0B" w:rsidRPr="00935B0B">
        <w:rPr>
          <w:b/>
          <w:bCs/>
          <w:noProof/>
          <w:lang w:eastAsia="en-AU"/>
        </w:rPr>
        <w:drawing>
          <wp:inline distT="0" distB="0" distL="0" distR="0">
            <wp:extent cx="5267325" cy="3381375"/>
            <wp:effectExtent l="19050" t="0" r="9525"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1246" w:rsidRPr="00FC5095" w:rsidRDefault="000F1246" w:rsidP="000F1246">
      <w:pPr>
        <w:pStyle w:val="Texttoreplace"/>
        <w:spacing w:after="120" w:line="240" w:lineRule="auto"/>
        <w:jc w:val="both"/>
        <w:rPr>
          <w:rFonts w:ascii="Arial" w:hAnsi="Arial" w:cs="Arial"/>
          <w:i w:val="0"/>
          <w:iCs/>
          <w:sz w:val="18"/>
          <w:szCs w:val="18"/>
          <w:lang w:val="en-GB"/>
        </w:rPr>
      </w:pPr>
      <w:r w:rsidRPr="00FC5095">
        <w:rPr>
          <w:rFonts w:ascii="Arial" w:hAnsi="Arial" w:cs="Arial"/>
          <w:i w:val="0"/>
          <w:iCs/>
          <w:sz w:val="18"/>
          <w:szCs w:val="18"/>
          <w:lang w:val="en-GB"/>
        </w:rPr>
        <w:t>Source: Greater Hobart Household Travel Survey, 2008/09</w:t>
      </w:r>
    </w:p>
    <w:p w:rsidR="00BC679D" w:rsidRDefault="00BC679D" w:rsidP="000F1246">
      <w:pPr>
        <w:pStyle w:val="Caption"/>
        <w:spacing w:after="0"/>
        <w:sectPr w:rsidR="00BC679D" w:rsidSect="000F1246">
          <w:pgSz w:w="11906" w:h="16838"/>
          <w:pgMar w:top="1440" w:right="1440" w:bottom="1440" w:left="1440" w:header="708" w:footer="708" w:gutter="0"/>
          <w:cols w:space="708"/>
          <w:docGrid w:linePitch="360"/>
        </w:sectPr>
      </w:pPr>
    </w:p>
    <w:p w:rsidR="000F1246" w:rsidRDefault="000F1246" w:rsidP="000F1246">
      <w:pPr>
        <w:pStyle w:val="Caption"/>
        <w:spacing w:after="0"/>
      </w:pPr>
      <w:r>
        <w:lastRenderedPageBreak/>
        <w:t xml:space="preserve">Figure </w:t>
      </w:r>
      <w:fldSimple w:instr=" SEQ Figure \* ARABIC ">
        <w:r w:rsidR="00361A55">
          <w:rPr>
            <w:noProof/>
          </w:rPr>
          <w:t>16</w:t>
        </w:r>
      </w:fldSimple>
      <w:r>
        <w:t xml:space="preserve"> </w:t>
      </w:r>
      <w:r w:rsidRPr="001B2FDE">
        <w:t>Travel mode for trip types, Hobart (weekdays)</w:t>
      </w:r>
    </w:p>
    <w:p w:rsidR="00935B0B" w:rsidRPr="00935B0B" w:rsidRDefault="00935B0B" w:rsidP="00935B0B"/>
    <w:p w:rsidR="000F1246" w:rsidRDefault="00935B0B" w:rsidP="000F1246">
      <w:pPr>
        <w:rPr>
          <w:sz w:val="18"/>
          <w:szCs w:val="18"/>
          <w:lang w:val="en-GB"/>
        </w:rPr>
      </w:pPr>
      <w:r w:rsidRPr="00935B0B">
        <w:rPr>
          <w:noProof/>
          <w:sz w:val="18"/>
          <w:szCs w:val="18"/>
          <w:lang w:eastAsia="en-AU"/>
        </w:rPr>
        <w:drawing>
          <wp:inline distT="0" distB="0" distL="0" distR="0">
            <wp:extent cx="5305425" cy="3667125"/>
            <wp:effectExtent l="19050" t="0" r="9525"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1246" w:rsidRPr="00FC5095" w:rsidRDefault="000F1246" w:rsidP="000F1246">
      <w:pPr>
        <w:rPr>
          <w:rFonts w:cs="Arial"/>
          <w:b/>
          <w:bCs/>
          <w:noProof/>
          <w:lang w:val="en-US"/>
        </w:rPr>
      </w:pPr>
      <w:r w:rsidRPr="00FC5095">
        <w:rPr>
          <w:rFonts w:cs="Arial"/>
          <w:sz w:val="18"/>
          <w:szCs w:val="18"/>
          <w:lang w:val="en-GB"/>
        </w:rPr>
        <w:t>Source: Greater Hobart Household Travel Survey, 2008/09</w:t>
      </w:r>
    </w:p>
    <w:p w:rsidR="000F1246" w:rsidRDefault="000F1246" w:rsidP="000F1246">
      <w:pPr>
        <w:spacing w:after="120" w:line="240" w:lineRule="auto"/>
        <w:rPr>
          <w:lang w:val="en-GB"/>
        </w:rPr>
      </w:pPr>
      <w:r>
        <w:rPr>
          <w:lang w:val="en-GB"/>
        </w:rPr>
        <w:t xml:space="preserve">When comparing other jurisdictions, capital cities such as Melbourne have a larger public transport modal share than </w:t>
      </w:r>
      <w:proofErr w:type="spellStart"/>
      <w:r>
        <w:rPr>
          <w:lang w:val="en-GB"/>
        </w:rPr>
        <w:t>Glenorchy</w:t>
      </w:r>
      <w:proofErr w:type="spellEnd"/>
      <w:r>
        <w:rPr>
          <w:lang w:val="en-GB"/>
        </w:rPr>
        <w:t xml:space="preserve"> and Hobart for different trip types. Melbourne public transport modal share:</w:t>
      </w:r>
    </w:p>
    <w:p w:rsidR="000F1246" w:rsidRPr="00FC3AEE" w:rsidRDefault="000F1246" w:rsidP="00FC5095">
      <w:pPr>
        <w:numPr>
          <w:ilvl w:val="0"/>
          <w:numId w:val="20"/>
        </w:numPr>
        <w:spacing w:after="120" w:line="240" w:lineRule="auto"/>
        <w:rPr>
          <w:b/>
          <w:bCs/>
        </w:rPr>
      </w:pPr>
      <w:r>
        <w:rPr>
          <w:lang w:val="en-GB"/>
        </w:rPr>
        <w:t>19 percent of trips to work.</w:t>
      </w:r>
    </w:p>
    <w:p w:rsidR="000F1246" w:rsidRPr="00FC3AEE" w:rsidRDefault="000F1246" w:rsidP="00FC5095">
      <w:pPr>
        <w:numPr>
          <w:ilvl w:val="0"/>
          <w:numId w:val="20"/>
        </w:numPr>
        <w:spacing w:after="120" w:line="240" w:lineRule="auto"/>
        <w:rPr>
          <w:b/>
          <w:bCs/>
        </w:rPr>
      </w:pPr>
      <w:r>
        <w:rPr>
          <w:lang w:val="en-GB"/>
        </w:rPr>
        <w:t>32 percent of trips to education.</w:t>
      </w:r>
    </w:p>
    <w:p w:rsidR="000F1246" w:rsidRDefault="000F1246" w:rsidP="000F1246">
      <w:pPr>
        <w:spacing w:after="120" w:line="240" w:lineRule="auto"/>
        <w:rPr>
          <w:lang w:val="en-GB"/>
        </w:rPr>
      </w:pPr>
      <w:r>
        <w:rPr>
          <w:lang w:val="en-GB"/>
        </w:rPr>
        <w:t xml:space="preserve">Regional cities such as </w:t>
      </w:r>
      <w:proofErr w:type="spellStart"/>
      <w:proofErr w:type="gramStart"/>
      <w:r>
        <w:rPr>
          <w:lang w:val="en-GB"/>
        </w:rPr>
        <w:t>Geelong</w:t>
      </w:r>
      <w:proofErr w:type="spellEnd"/>
      <w:r>
        <w:rPr>
          <w:lang w:val="en-GB"/>
        </w:rPr>
        <w:t>,</w:t>
      </w:r>
      <w:proofErr w:type="gramEnd"/>
      <w:r>
        <w:rPr>
          <w:lang w:val="en-GB"/>
        </w:rPr>
        <w:t xml:space="preserve"> have similar patterns to Hobart and </w:t>
      </w:r>
      <w:proofErr w:type="spellStart"/>
      <w:r>
        <w:rPr>
          <w:lang w:val="en-GB"/>
        </w:rPr>
        <w:t>Glenorchy</w:t>
      </w:r>
      <w:proofErr w:type="spellEnd"/>
      <w:r>
        <w:rPr>
          <w:lang w:val="en-GB"/>
        </w:rPr>
        <w:t xml:space="preserve">. </w:t>
      </w:r>
      <w:proofErr w:type="spellStart"/>
      <w:r>
        <w:rPr>
          <w:lang w:val="en-GB"/>
        </w:rPr>
        <w:t>Geelong’s</w:t>
      </w:r>
      <w:proofErr w:type="spellEnd"/>
      <w:r>
        <w:rPr>
          <w:lang w:val="en-GB"/>
        </w:rPr>
        <w:t xml:space="preserve"> public transport modal share:</w:t>
      </w:r>
    </w:p>
    <w:p w:rsidR="000F1246" w:rsidRDefault="000F1246" w:rsidP="00FC5095">
      <w:pPr>
        <w:numPr>
          <w:ilvl w:val="0"/>
          <w:numId w:val="21"/>
        </w:numPr>
        <w:spacing w:after="120" w:line="240" w:lineRule="auto"/>
        <w:rPr>
          <w:lang w:val="en-GB"/>
        </w:rPr>
      </w:pPr>
      <w:r>
        <w:rPr>
          <w:lang w:val="en-GB"/>
        </w:rPr>
        <w:t>5 percent of trips to work.</w:t>
      </w:r>
    </w:p>
    <w:p w:rsidR="000F1246" w:rsidRDefault="000F1246" w:rsidP="00FC5095">
      <w:pPr>
        <w:numPr>
          <w:ilvl w:val="0"/>
          <w:numId w:val="21"/>
        </w:numPr>
        <w:spacing w:after="120" w:line="240" w:lineRule="auto"/>
        <w:rPr>
          <w:lang w:val="en-GB"/>
        </w:rPr>
      </w:pPr>
      <w:r>
        <w:rPr>
          <w:lang w:val="en-GB"/>
        </w:rPr>
        <w:t>24 percent of trips to education (VISTA 2007).</w:t>
      </w:r>
    </w:p>
    <w:p w:rsidR="000F1246" w:rsidRDefault="000F1246" w:rsidP="000F1246">
      <w:pPr>
        <w:pStyle w:val="Heading3"/>
      </w:pPr>
      <w:bookmarkStart w:id="48" w:name="_Toc329331953"/>
      <w:r>
        <w:t>Where are people travelling to and from?</w:t>
      </w:r>
      <w:bookmarkEnd w:id="48"/>
    </w:p>
    <w:p w:rsidR="000F1246" w:rsidRPr="00DA62A2" w:rsidRDefault="000F1246" w:rsidP="000F1246">
      <w:pPr>
        <w:spacing w:after="120" w:line="240" w:lineRule="auto"/>
        <w:jc w:val="both"/>
      </w:pPr>
      <w:r>
        <w:t xml:space="preserve">Based on the Greater Hobart Household Travel Survey, 60.5 percent of </w:t>
      </w:r>
      <w:r w:rsidRPr="00DA62A2">
        <w:t>Glenorchy</w:t>
      </w:r>
      <w:r>
        <w:rPr>
          <w:b/>
          <w:bCs/>
        </w:rPr>
        <w:t xml:space="preserve"> </w:t>
      </w:r>
      <w:r>
        <w:t xml:space="preserve">residents travel within Glenorchy, with Hobart as a secondary destination (21.1 percent), followed by Clarence at 7.5 percent. </w:t>
      </w:r>
    </w:p>
    <w:p w:rsidR="000F1246" w:rsidRDefault="000F1246" w:rsidP="000F1246">
      <w:pPr>
        <w:spacing w:after="120" w:line="240" w:lineRule="auto"/>
        <w:jc w:val="both"/>
      </w:pPr>
      <w:r w:rsidRPr="00FB7F16">
        <w:t>Hobart</w:t>
      </w:r>
      <w:r>
        <w:rPr>
          <w:b/>
          <w:bCs/>
        </w:rPr>
        <w:t xml:space="preserve"> </w:t>
      </w:r>
      <w:r>
        <w:t>residents have the highest proportion of intra-Council trips for all of Greater Hobart at 66.4 percent. Other key destinations include Glenorchy at 11.6 percent and Clarence at 11.5 percent.</w:t>
      </w:r>
    </w:p>
    <w:p w:rsidR="000F1246" w:rsidRDefault="000F1246" w:rsidP="000F1246">
      <w:pPr>
        <w:spacing w:after="120" w:line="240" w:lineRule="auto"/>
        <w:jc w:val="both"/>
      </w:pPr>
      <w:r>
        <w:t>For those residents using public transport, the maps below show the travel patterns as follows:</w:t>
      </w:r>
    </w:p>
    <w:p w:rsidR="000F1246" w:rsidRDefault="000F1246" w:rsidP="00FC5095">
      <w:pPr>
        <w:pStyle w:val="ListParagraph"/>
        <w:numPr>
          <w:ilvl w:val="0"/>
          <w:numId w:val="19"/>
        </w:numPr>
        <w:spacing w:after="120" w:line="240" w:lineRule="auto"/>
        <w:contextualSpacing w:val="0"/>
        <w:jc w:val="both"/>
      </w:pPr>
      <w:r w:rsidRPr="00E657CF">
        <w:t xml:space="preserve">44 percent of Glenorchy residents using public </w:t>
      </w:r>
      <w:proofErr w:type="gramStart"/>
      <w:r w:rsidRPr="00E657CF">
        <w:t>transport</w:t>
      </w:r>
      <w:r>
        <w:t>,</w:t>
      </w:r>
      <w:proofErr w:type="gramEnd"/>
      <w:r w:rsidRPr="00E657CF">
        <w:t xml:space="preserve"> travel internally within Glenorchy</w:t>
      </w:r>
      <w:r>
        <w:t>, compared to 33 percent of Hobart residents.</w:t>
      </w:r>
    </w:p>
    <w:p w:rsidR="000F1246" w:rsidRDefault="000F1246" w:rsidP="00FC5095">
      <w:pPr>
        <w:pStyle w:val="ListParagraph"/>
        <w:numPr>
          <w:ilvl w:val="0"/>
          <w:numId w:val="19"/>
        </w:numPr>
        <w:spacing w:after="120" w:line="240" w:lineRule="auto"/>
        <w:contextualSpacing w:val="0"/>
        <w:jc w:val="both"/>
      </w:pPr>
      <w:r>
        <w:lastRenderedPageBreak/>
        <w:t>A greater proportion of Glenorchy residents use public transport to travel to Hobart (47 percent).</w:t>
      </w:r>
    </w:p>
    <w:p w:rsidR="000F1246" w:rsidRDefault="000F1246" w:rsidP="00FC5095">
      <w:pPr>
        <w:pStyle w:val="ListParagraph"/>
        <w:numPr>
          <w:ilvl w:val="0"/>
          <w:numId w:val="19"/>
        </w:numPr>
        <w:spacing w:after="120" w:line="240" w:lineRule="auto"/>
        <w:contextualSpacing w:val="0"/>
        <w:jc w:val="both"/>
      </w:pPr>
      <w:r>
        <w:t xml:space="preserve">Hobart has a higher proportion of people travelling to other destinations such as Clarence (24 percent) and </w:t>
      </w:r>
      <w:proofErr w:type="spellStart"/>
      <w:r>
        <w:t>Kingborough</w:t>
      </w:r>
      <w:proofErr w:type="spellEnd"/>
      <w:r>
        <w:t xml:space="preserve"> (12 percent) than Glenorchy. </w:t>
      </w:r>
    </w:p>
    <w:p w:rsidR="000F1246" w:rsidRDefault="000F1246" w:rsidP="000F1246">
      <w:pPr>
        <w:pStyle w:val="ListParagraph"/>
        <w:spacing w:after="120" w:line="240" w:lineRule="auto"/>
        <w:contextualSpacing w:val="0"/>
        <w:jc w:val="both"/>
        <w:sectPr w:rsidR="000F1246" w:rsidSect="000F1246">
          <w:pgSz w:w="11906" w:h="16838"/>
          <w:pgMar w:top="1440" w:right="1440" w:bottom="1440" w:left="1440" w:header="708" w:footer="708" w:gutter="0"/>
          <w:cols w:space="708"/>
          <w:docGrid w:linePitch="360"/>
        </w:sectPr>
      </w:pPr>
    </w:p>
    <w:tbl>
      <w:tblPr>
        <w:tblW w:w="5000" w:type="pct"/>
        <w:tblInd w:w="-106" w:type="dxa"/>
        <w:tblLook w:val="00A0"/>
      </w:tblPr>
      <w:tblGrid>
        <w:gridCol w:w="7149"/>
        <w:gridCol w:w="7025"/>
      </w:tblGrid>
      <w:tr w:rsidR="000F1246" w:rsidRPr="00FD3C2A" w:rsidTr="000F1246">
        <w:tc>
          <w:tcPr>
            <w:tcW w:w="2522" w:type="pct"/>
          </w:tcPr>
          <w:p w:rsidR="000F1246" w:rsidRPr="00FD3C2A" w:rsidRDefault="000F1246" w:rsidP="000F1246">
            <w:pPr>
              <w:pStyle w:val="Caption"/>
              <w:spacing w:after="0"/>
            </w:pPr>
            <w:r w:rsidRPr="00FD3C2A">
              <w:lastRenderedPageBreak/>
              <w:t xml:space="preserve">Figure </w:t>
            </w:r>
            <w:fldSimple w:instr=" SEQ Figure \* ARABIC ">
              <w:r w:rsidR="00361A55">
                <w:rPr>
                  <w:noProof/>
                </w:rPr>
                <w:t>17</w:t>
              </w:r>
            </w:fldSimple>
            <w:r w:rsidRPr="00FD3C2A">
              <w:t xml:space="preserve"> Destination of Hobart residents using public transport (weekdays)</w:t>
            </w:r>
          </w:p>
          <w:p w:rsidR="000F1246" w:rsidRPr="00FD3C2A" w:rsidRDefault="000F1246" w:rsidP="000F1246">
            <w:pPr>
              <w:spacing w:after="0" w:line="240" w:lineRule="auto"/>
            </w:pPr>
          </w:p>
        </w:tc>
        <w:tc>
          <w:tcPr>
            <w:tcW w:w="2478" w:type="pct"/>
          </w:tcPr>
          <w:p w:rsidR="000F1246" w:rsidRPr="00FD3C2A" w:rsidRDefault="000F1246" w:rsidP="000F1246">
            <w:pPr>
              <w:pStyle w:val="Caption"/>
              <w:spacing w:after="0"/>
            </w:pPr>
            <w:r w:rsidRPr="00FD3C2A">
              <w:t xml:space="preserve">Figure </w:t>
            </w:r>
            <w:fldSimple w:instr=" SEQ Figure \* ARABIC ">
              <w:r w:rsidR="00361A55">
                <w:rPr>
                  <w:noProof/>
                </w:rPr>
                <w:t>18</w:t>
              </w:r>
            </w:fldSimple>
            <w:r w:rsidRPr="00FD3C2A">
              <w:t xml:space="preserve">  Destination of Glenorchy residents using public transport (weekdays)</w:t>
            </w:r>
          </w:p>
        </w:tc>
      </w:tr>
      <w:tr w:rsidR="000F1246" w:rsidRPr="00FD3C2A" w:rsidTr="000F1246">
        <w:tc>
          <w:tcPr>
            <w:tcW w:w="2522" w:type="pct"/>
          </w:tcPr>
          <w:p w:rsidR="000F1246" w:rsidRPr="00FD3C2A" w:rsidRDefault="00637FD9" w:rsidP="000F1246">
            <w:pPr>
              <w:spacing w:after="0" w:line="240" w:lineRule="auto"/>
            </w:pPr>
            <w:r w:rsidRPr="00637FD9">
              <w:rPr>
                <w:noProof/>
                <w:lang w:val="en-US"/>
              </w:rPr>
              <w:pict>
                <v:shape id="_x0000_s1043" type="#_x0000_t202" style="position:absolute;margin-left:7.55pt;margin-top:373.25pt;width:277.7pt;height:88.6pt;z-index:251693056;mso-position-horizontal-relative:text;mso-position-vertical-relative:text" strokecolor="white">
                  <v:textbox style="mso-fit-shape-to-text:t">
                    <w:txbxContent>
                      <w:p w:rsidR="00935B0B" w:rsidRPr="00C9415F" w:rsidRDefault="00935B0B" w:rsidP="000F1246">
                        <w:r w:rsidRPr="00C9415F">
                          <w:rPr>
                            <w:sz w:val="18"/>
                            <w:szCs w:val="18"/>
                            <w:lang w:val="en-GB"/>
                          </w:rPr>
                          <w:t>Source: Greater Hobart Household Travel Survey, 2008/09</w:t>
                        </w:r>
                      </w:p>
                    </w:txbxContent>
                  </v:textbox>
                </v:shape>
              </w:pict>
            </w:r>
            <w:r w:rsidR="000F1246">
              <w:rPr>
                <w:noProof/>
                <w:lang w:eastAsia="en-AU"/>
              </w:rPr>
              <w:drawing>
                <wp:inline distT="0" distB="0" distL="0" distR="0">
                  <wp:extent cx="3571875" cy="5048250"/>
                  <wp:effectExtent l="19050" t="0" r="9525" b="0"/>
                  <wp:docPr id="40" name="Picture 15" descr="Transit Corridors_HCC_bus patronage_ household travel 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nsit Corridors_HCC_bus patronage_ household travel survey.jpg"/>
                          <pic:cNvPicPr>
                            <a:picLocks noChangeAspect="1" noChangeArrowheads="1"/>
                          </pic:cNvPicPr>
                        </pic:nvPicPr>
                        <pic:blipFill>
                          <a:blip r:embed="rId19" cstate="print"/>
                          <a:srcRect/>
                          <a:stretch>
                            <a:fillRect/>
                          </a:stretch>
                        </pic:blipFill>
                        <pic:spPr bwMode="auto">
                          <a:xfrm>
                            <a:off x="0" y="0"/>
                            <a:ext cx="3571875" cy="5048250"/>
                          </a:xfrm>
                          <a:prstGeom prst="rect">
                            <a:avLst/>
                          </a:prstGeom>
                          <a:noFill/>
                          <a:ln w="9525">
                            <a:noFill/>
                            <a:miter lim="800000"/>
                            <a:headEnd/>
                            <a:tailEnd/>
                          </a:ln>
                        </pic:spPr>
                      </pic:pic>
                    </a:graphicData>
                  </a:graphic>
                </wp:inline>
              </w:drawing>
            </w:r>
          </w:p>
        </w:tc>
        <w:tc>
          <w:tcPr>
            <w:tcW w:w="2478" w:type="pct"/>
          </w:tcPr>
          <w:p w:rsidR="000F1246" w:rsidRPr="00FD3C2A" w:rsidRDefault="000F1246" w:rsidP="000F1246">
            <w:pPr>
              <w:spacing w:after="0" w:line="240" w:lineRule="auto"/>
            </w:pPr>
            <w:r>
              <w:rPr>
                <w:noProof/>
                <w:lang w:eastAsia="en-AU"/>
              </w:rPr>
              <w:drawing>
                <wp:inline distT="0" distB="0" distL="0" distR="0">
                  <wp:extent cx="3629025" cy="5133975"/>
                  <wp:effectExtent l="19050" t="0" r="9525" b="0"/>
                  <wp:docPr id="41" name="Picture 16" descr="Transit Corridors_GCC_bus patronage_household travel 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nsit Corridors_GCC_bus patronage_household travel survey.jpg"/>
                          <pic:cNvPicPr>
                            <a:picLocks noChangeAspect="1" noChangeArrowheads="1"/>
                          </pic:cNvPicPr>
                        </pic:nvPicPr>
                        <pic:blipFill>
                          <a:blip r:embed="rId20" cstate="print"/>
                          <a:srcRect/>
                          <a:stretch>
                            <a:fillRect/>
                          </a:stretch>
                        </pic:blipFill>
                        <pic:spPr bwMode="auto">
                          <a:xfrm>
                            <a:off x="0" y="0"/>
                            <a:ext cx="3629025" cy="5133975"/>
                          </a:xfrm>
                          <a:prstGeom prst="rect">
                            <a:avLst/>
                          </a:prstGeom>
                          <a:noFill/>
                          <a:ln w="9525">
                            <a:noFill/>
                            <a:miter lim="800000"/>
                            <a:headEnd/>
                            <a:tailEnd/>
                          </a:ln>
                        </pic:spPr>
                      </pic:pic>
                    </a:graphicData>
                  </a:graphic>
                </wp:inline>
              </w:drawing>
            </w:r>
          </w:p>
        </w:tc>
      </w:tr>
    </w:tbl>
    <w:p w:rsidR="000F1246" w:rsidRDefault="000F1246" w:rsidP="000F1246">
      <w:pPr>
        <w:pStyle w:val="ListParagraph"/>
        <w:spacing w:after="120" w:line="240" w:lineRule="auto"/>
        <w:contextualSpacing w:val="0"/>
        <w:jc w:val="both"/>
        <w:sectPr w:rsidR="000F1246" w:rsidSect="000F1246">
          <w:pgSz w:w="16838" w:h="11906" w:orient="landscape"/>
          <w:pgMar w:top="1440" w:right="1440" w:bottom="1440" w:left="1440" w:header="708" w:footer="708" w:gutter="0"/>
          <w:cols w:space="708"/>
          <w:docGrid w:linePitch="360"/>
        </w:sectPr>
      </w:pPr>
    </w:p>
    <w:p w:rsidR="000F1246" w:rsidRDefault="000F1246" w:rsidP="000F1246">
      <w:pPr>
        <w:pStyle w:val="ListParagraph"/>
        <w:spacing w:after="120" w:line="240" w:lineRule="auto"/>
        <w:contextualSpacing w:val="0"/>
        <w:jc w:val="both"/>
      </w:pPr>
    </w:p>
    <w:p w:rsidR="005E633F" w:rsidRDefault="005E633F" w:rsidP="005D1289"/>
    <w:p w:rsidR="005E633F" w:rsidRPr="00DB4877" w:rsidRDefault="005E633F" w:rsidP="005E633F">
      <w:pPr>
        <w:spacing w:after="120" w:line="240" w:lineRule="auto"/>
        <w:jc w:val="both"/>
      </w:pPr>
    </w:p>
    <w:p w:rsidR="00AE5737" w:rsidRDefault="00AE5737" w:rsidP="004E6C10">
      <w:pPr>
        <w:pStyle w:val="Heading2"/>
        <w:numPr>
          <w:ilvl w:val="0"/>
          <w:numId w:val="0"/>
        </w:numPr>
        <w:ind w:left="576" w:hanging="576"/>
      </w:pPr>
    </w:p>
    <w:p w:rsidR="00AE5737" w:rsidRDefault="00AE5737" w:rsidP="004E6C10">
      <w:pPr>
        <w:pStyle w:val="Heading2"/>
        <w:numPr>
          <w:ilvl w:val="0"/>
          <w:numId w:val="0"/>
        </w:numPr>
        <w:ind w:left="576" w:hanging="576"/>
      </w:pPr>
    </w:p>
    <w:p w:rsidR="00BE5054" w:rsidRDefault="00BE5054" w:rsidP="00DF3DC3">
      <w:pPr>
        <w:spacing w:after="120" w:line="240" w:lineRule="auto"/>
        <w:jc w:val="both"/>
      </w:pPr>
    </w:p>
    <w:bookmarkEnd w:id="1"/>
    <w:bookmarkEnd w:id="2"/>
    <w:p w:rsidR="007571D6" w:rsidRPr="000774A3" w:rsidRDefault="007571D6" w:rsidP="001A28C6">
      <w:pPr>
        <w:pStyle w:val="Heading2"/>
        <w:numPr>
          <w:ilvl w:val="0"/>
          <w:numId w:val="0"/>
        </w:numPr>
      </w:pPr>
    </w:p>
    <w:p w:rsidR="00DB44DC" w:rsidRPr="00DB44DC" w:rsidRDefault="00E23947" w:rsidP="00126BC8">
      <w:pPr>
        <w:autoSpaceDE w:val="0"/>
        <w:autoSpaceDN w:val="0"/>
        <w:adjustRightInd w:val="0"/>
        <w:spacing w:after="0" w:line="240" w:lineRule="auto"/>
        <w:jc w:val="both"/>
        <w:rPr>
          <w:rFonts w:cs="Arial"/>
        </w:rPr>
      </w:pPr>
      <w:r>
        <w:rPr>
          <w:rFonts w:cs="Arial"/>
          <w:noProof/>
          <w:lang w:eastAsia="en-AU"/>
        </w:rPr>
        <w:drawing>
          <wp:anchor distT="0" distB="0" distL="114300" distR="114300" simplePos="0" relativeHeight="251670528" behindDoc="1" locked="0" layoutInCell="0" allowOverlap="1">
            <wp:simplePos x="0" y="0"/>
            <wp:positionH relativeFrom="page">
              <wp:posOffset>0</wp:posOffset>
            </wp:positionH>
            <wp:positionV relativeFrom="page">
              <wp:align>center</wp:align>
            </wp:positionV>
            <wp:extent cx="7562850" cy="10696575"/>
            <wp:effectExtent l="19050" t="0" r="0" b="0"/>
            <wp:wrapNone/>
            <wp:docPr id="9" name="Picture 9" descr="M:\Studio Production\For Archiving\DPC\0061_StyleGuide_Staff use\DPC_Word\Images\back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tudio Production\For Archiving\DPC\0061_StyleGuide_Staff use\DPC_Word\Images\backcover.jpg"/>
                    <pic:cNvPicPr>
                      <a:picLocks noChangeAspect="1" noChangeArrowheads="1"/>
                    </pic:cNvPicPr>
                  </pic:nvPicPr>
                  <pic:blipFill>
                    <a:blip r:embed="rId21" cstate="print"/>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p w:rsidR="00D067AE" w:rsidRPr="00DB44DC" w:rsidRDefault="00D067AE" w:rsidP="00126BC8">
      <w:pPr>
        <w:jc w:val="both"/>
        <w:rPr>
          <w:rFonts w:cs="Arial"/>
        </w:rPr>
      </w:pPr>
    </w:p>
    <w:p w:rsidR="00D067AE" w:rsidRPr="00DB44DC" w:rsidRDefault="00D067AE" w:rsidP="00126BC8">
      <w:pPr>
        <w:jc w:val="both"/>
        <w:rPr>
          <w:rFonts w:cs="Arial"/>
        </w:rPr>
      </w:pPr>
    </w:p>
    <w:p w:rsidR="0081590E" w:rsidRPr="00DB44DC" w:rsidRDefault="00637FD9" w:rsidP="00126BC8">
      <w:pPr>
        <w:jc w:val="both"/>
        <w:rPr>
          <w:rFonts w:cs="Arial"/>
        </w:rPr>
      </w:pPr>
      <w:r>
        <w:rPr>
          <w:rFonts w:cs="Arial"/>
          <w:noProof/>
          <w:lang w:eastAsia="en-AU"/>
        </w:rPr>
        <w:pict>
          <v:shape id="_x0000_s1034" type="#_x0000_t202" style="position:absolute;left:0;text-align:left;margin-left:333pt;margin-top:395.95pt;width:171pt;height:171pt;z-index:251682816" filled="f" stroked="f">
            <v:textbox style="mso-next-textbox:#_x0000_s1034">
              <w:txbxContent>
                <w:p w:rsidR="00935B0B" w:rsidRPr="00E85EE1" w:rsidRDefault="00935B0B" w:rsidP="007571D6">
                  <w:pPr>
                    <w:spacing w:before="60" w:after="60"/>
                    <w:rPr>
                      <w:rFonts w:cs="Arial"/>
                      <w:b/>
                      <w:bCs/>
                      <w:snapToGrid w:val="0"/>
                      <w:color w:val="FFFFFF" w:themeColor="background1"/>
                      <w:sz w:val="20"/>
                    </w:rPr>
                  </w:pPr>
                  <w:r w:rsidRPr="00E85EE1">
                    <w:rPr>
                      <w:rFonts w:cs="Arial"/>
                      <w:b/>
                      <w:bCs/>
                      <w:snapToGrid w:val="0"/>
                      <w:color w:val="FFFFFF" w:themeColor="background1"/>
                      <w:sz w:val="20"/>
                    </w:rPr>
                    <w:t>Department of Infrastructure, Energy and Resources</w:t>
                  </w:r>
                </w:p>
                <w:p w:rsidR="00935B0B" w:rsidRPr="00E85EE1" w:rsidRDefault="00935B0B" w:rsidP="007571D6">
                  <w:pPr>
                    <w:pStyle w:val="BodyText"/>
                    <w:spacing w:before="60" w:after="60"/>
                    <w:rPr>
                      <w:rFonts w:ascii="Arial" w:hAnsi="Arial"/>
                      <w:b w:val="0"/>
                      <w:bCs w:val="0"/>
                      <w:color w:val="FFFFFF" w:themeColor="background1"/>
                    </w:rPr>
                  </w:pPr>
                </w:p>
                <w:p w:rsidR="00935B0B" w:rsidRPr="00E85EE1" w:rsidRDefault="00935B0B" w:rsidP="007571D6">
                  <w:pPr>
                    <w:spacing w:before="60" w:after="60"/>
                    <w:rPr>
                      <w:rFonts w:cs="Arial"/>
                      <w:snapToGrid w:val="0"/>
                      <w:color w:val="FFFFFF" w:themeColor="background1"/>
                      <w:sz w:val="20"/>
                    </w:rPr>
                  </w:pPr>
                  <w:r w:rsidRPr="00E85EE1">
                    <w:rPr>
                      <w:rFonts w:cs="Arial"/>
                      <w:snapToGrid w:val="0"/>
                      <w:color w:val="FFFFFF" w:themeColor="background1"/>
                      <w:sz w:val="20"/>
                    </w:rPr>
                    <w:t xml:space="preserve">10 Murray Street, </w:t>
                  </w:r>
                </w:p>
                <w:p w:rsidR="00935B0B" w:rsidRPr="00E85EE1" w:rsidRDefault="00935B0B" w:rsidP="007571D6">
                  <w:pPr>
                    <w:spacing w:before="60" w:after="60"/>
                    <w:rPr>
                      <w:rFonts w:cs="Arial"/>
                      <w:snapToGrid w:val="0"/>
                      <w:color w:val="FFFFFF" w:themeColor="background1"/>
                      <w:sz w:val="20"/>
                    </w:rPr>
                  </w:pPr>
                  <w:r w:rsidRPr="00E85EE1">
                    <w:rPr>
                      <w:rFonts w:cs="Arial"/>
                      <w:snapToGrid w:val="0"/>
                      <w:color w:val="FFFFFF" w:themeColor="background1"/>
                      <w:sz w:val="20"/>
                    </w:rPr>
                    <w:t>Hobart TAS 7001</w:t>
                  </w:r>
                </w:p>
                <w:p w:rsidR="00935B0B" w:rsidRPr="00E85EE1" w:rsidRDefault="00935B0B" w:rsidP="007571D6">
                  <w:pPr>
                    <w:spacing w:before="60" w:after="60"/>
                    <w:rPr>
                      <w:rFonts w:cs="Arial"/>
                      <w:snapToGrid w:val="0"/>
                      <w:color w:val="FFFFFF" w:themeColor="background1"/>
                      <w:sz w:val="20"/>
                    </w:rPr>
                  </w:pPr>
                  <w:r w:rsidRPr="00E85EE1">
                    <w:rPr>
                      <w:rFonts w:cs="Arial"/>
                      <w:snapToGrid w:val="0"/>
                      <w:color w:val="FFFFFF" w:themeColor="background1"/>
                      <w:sz w:val="20"/>
                    </w:rPr>
                    <w:t>Ph: 1300 135 513</w:t>
                  </w:r>
                </w:p>
                <w:p w:rsidR="00935B0B" w:rsidRPr="00E85EE1" w:rsidRDefault="00935B0B" w:rsidP="007571D6">
                  <w:pPr>
                    <w:spacing w:before="60" w:after="60"/>
                    <w:rPr>
                      <w:rFonts w:cs="Arial"/>
                      <w:snapToGrid w:val="0"/>
                      <w:color w:val="FFFFFF" w:themeColor="background1"/>
                    </w:rPr>
                  </w:pPr>
                  <w:r w:rsidRPr="00E85EE1">
                    <w:rPr>
                      <w:rFonts w:cs="Arial"/>
                      <w:snapToGrid w:val="0"/>
                      <w:color w:val="FFFFFF" w:themeColor="background1"/>
                      <w:sz w:val="20"/>
                    </w:rPr>
                    <w:t xml:space="preserve">Visit: </w:t>
                  </w:r>
                  <w:proofErr w:type="spellStart"/>
                  <w:r w:rsidRPr="00E85EE1">
                    <w:rPr>
                      <w:rFonts w:cs="Arial"/>
                      <w:snapToGrid w:val="0"/>
                      <w:color w:val="FFFFFF" w:themeColor="background1"/>
                      <w:sz w:val="20"/>
                    </w:rPr>
                    <w:t>www.dier.tas.gov.au</w:t>
                  </w:r>
                  <w:proofErr w:type="spellEnd"/>
                </w:p>
              </w:txbxContent>
            </v:textbox>
          </v:shape>
        </w:pict>
      </w:r>
    </w:p>
    <w:sectPr w:rsidR="0081590E" w:rsidRPr="00DB44DC" w:rsidSect="000F124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B0B" w:rsidRDefault="00935B0B" w:rsidP="00DB44DC">
      <w:pPr>
        <w:spacing w:after="0" w:line="240" w:lineRule="auto"/>
      </w:pPr>
      <w:r>
        <w:separator/>
      </w:r>
    </w:p>
  </w:endnote>
  <w:endnote w:type="continuationSeparator" w:id="0">
    <w:p w:rsidR="00935B0B" w:rsidRDefault="00935B0B" w:rsidP="00DB44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illSans-Light">
    <w:altName w:val="GillSans Light"/>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GillSan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39110"/>
      <w:docPartObj>
        <w:docPartGallery w:val="Page Numbers (Bottom of Page)"/>
        <w:docPartUnique/>
      </w:docPartObj>
    </w:sdtPr>
    <w:sdtEndPr>
      <w:rPr>
        <w:sz w:val="16"/>
        <w:szCs w:val="16"/>
      </w:rPr>
    </w:sdtEndPr>
    <w:sdtContent>
      <w:p w:rsidR="00935B0B" w:rsidRPr="00F451DE" w:rsidRDefault="00637FD9">
        <w:pPr>
          <w:pStyle w:val="Footer"/>
          <w:jc w:val="right"/>
          <w:rPr>
            <w:sz w:val="16"/>
            <w:szCs w:val="16"/>
          </w:rPr>
        </w:pPr>
        <w:r w:rsidRPr="00F451DE">
          <w:rPr>
            <w:sz w:val="16"/>
            <w:szCs w:val="16"/>
          </w:rPr>
          <w:fldChar w:fldCharType="begin"/>
        </w:r>
        <w:r w:rsidR="00935B0B" w:rsidRPr="00F451DE">
          <w:rPr>
            <w:sz w:val="16"/>
            <w:szCs w:val="16"/>
          </w:rPr>
          <w:instrText xml:space="preserve"> PAGE   \* MERGEFORMAT </w:instrText>
        </w:r>
        <w:r w:rsidRPr="00F451DE">
          <w:rPr>
            <w:sz w:val="16"/>
            <w:szCs w:val="16"/>
          </w:rPr>
          <w:fldChar w:fldCharType="separate"/>
        </w:r>
        <w:r w:rsidR="00460F2B">
          <w:rPr>
            <w:noProof/>
            <w:sz w:val="16"/>
            <w:szCs w:val="16"/>
          </w:rPr>
          <w:t>23</w:t>
        </w:r>
        <w:r w:rsidRPr="00F451DE">
          <w:rPr>
            <w:sz w:val="16"/>
            <w:szCs w:val="16"/>
          </w:rPr>
          <w:fldChar w:fldCharType="end"/>
        </w:r>
      </w:p>
    </w:sdtContent>
  </w:sdt>
  <w:p w:rsidR="00935B0B" w:rsidRDefault="00935B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B0B" w:rsidRDefault="00935B0B" w:rsidP="00DB44DC">
      <w:pPr>
        <w:spacing w:after="0" w:line="240" w:lineRule="auto"/>
      </w:pPr>
      <w:r>
        <w:separator/>
      </w:r>
    </w:p>
  </w:footnote>
  <w:footnote w:type="continuationSeparator" w:id="0">
    <w:p w:rsidR="00935B0B" w:rsidRDefault="00935B0B" w:rsidP="00DB44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B0B" w:rsidRPr="009C0E07" w:rsidRDefault="00935B0B">
    <w:pPr>
      <w:pStyle w:val="Header"/>
      <w:rPr>
        <w:rFonts w:cs="Arial"/>
        <w:color w:val="808080" w:themeColor="background1" w:themeShade="80"/>
        <w:sz w:val="20"/>
        <w:szCs w:val="20"/>
      </w:rPr>
    </w:pPr>
    <w:r w:rsidRPr="009C0E07">
      <w:rPr>
        <w:rFonts w:cs="Arial"/>
        <w:color w:val="808080" w:themeColor="background1" w:themeShade="80"/>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855"/>
    <w:multiLevelType w:val="hybridMultilevel"/>
    <w:tmpl w:val="400C632A"/>
    <w:lvl w:ilvl="0" w:tplc="0C090001">
      <w:start w:val="1"/>
      <w:numFmt w:val="bullet"/>
      <w:lvlText w:val=""/>
      <w:lvlJc w:val="left"/>
      <w:pPr>
        <w:ind w:left="738" w:hanging="360"/>
      </w:pPr>
      <w:rPr>
        <w:rFonts w:ascii="Symbol" w:hAnsi="Symbol" w:hint="default"/>
      </w:rPr>
    </w:lvl>
    <w:lvl w:ilvl="1" w:tplc="0C090001">
      <w:start w:val="1"/>
      <w:numFmt w:val="bullet"/>
      <w:lvlText w:val=""/>
      <w:lvlJc w:val="left"/>
      <w:pPr>
        <w:ind w:left="1458" w:hanging="360"/>
      </w:pPr>
      <w:rPr>
        <w:rFonts w:ascii="Symbol" w:hAnsi="Symbol"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1">
    <w:nsid w:val="08F542B4"/>
    <w:multiLevelType w:val="hybridMultilevel"/>
    <w:tmpl w:val="7598AF4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
    <w:nsid w:val="0EF15C55"/>
    <w:multiLevelType w:val="hybridMultilevel"/>
    <w:tmpl w:val="0002BF28"/>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
    <w:nsid w:val="10BF2417"/>
    <w:multiLevelType w:val="hybridMultilevel"/>
    <w:tmpl w:val="24D8D28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C9E17A0"/>
    <w:multiLevelType w:val="hybridMultilevel"/>
    <w:tmpl w:val="FA2E4868"/>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5">
    <w:nsid w:val="296A0C5F"/>
    <w:multiLevelType w:val="hybridMultilevel"/>
    <w:tmpl w:val="B9B4B70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6">
    <w:nsid w:val="2B9B05FC"/>
    <w:multiLevelType w:val="hybridMultilevel"/>
    <w:tmpl w:val="67A6E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DD45422"/>
    <w:multiLevelType w:val="hybridMultilevel"/>
    <w:tmpl w:val="738C22B0"/>
    <w:lvl w:ilvl="0" w:tplc="0D365286">
      <w:start w:val="1"/>
      <w:numFmt w:val="bullet"/>
      <w:pStyle w:val="KeyMessageTex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8">
    <w:nsid w:val="315B3B8E"/>
    <w:multiLevelType w:val="multilevel"/>
    <w:tmpl w:val="405EB89C"/>
    <w:lvl w:ilvl="0">
      <w:start w:val="1"/>
      <w:numFmt w:val="bullet"/>
      <w:pStyle w:val="ListBullet"/>
      <w:lvlText w:val="•"/>
      <w:lvlJc w:val="left"/>
      <w:pPr>
        <w:ind w:left="340" w:hanging="340"/>
      </w:pPr>
      <w:rPr>
        <w:rFonts w:ascii="Garamond" w:hAnsi="Garamond" w:hint="default"/>
      </w:rPr>
    </w:lvl>
    <w:lvl w:ilvl="1">
      <w:start w:val="1"/>
      <w:numFmt w:val="bullet"/>
      <w:pStyle w:val="ListBullet2"/>
      <w:lvlText w:val="−"/>
      <w:lvlJc w:val="left"/>
      <w:pPr>
        <w:ind w:left="680" w:hanging="340"/>
      </w:pPr>
      <w:rPr>
        <w:rFonts w:ascii="Garamond" w:hAnsi="Garamond" w:hint="default"/>
        <w:sz w:val="24"/>
      </w:rPr>
    </w:lvl>
    <w:lvl w:ilvl="2">
      <w:start w:val="1"/>
      <w:numFmt w:val="bullet"/>
      <w:pStyle w:val="ListBullet3"/>
      <w:lvlText w:val="…"/>
      <w:lvlJc w:val="left"/>
      <w:pPr>
        <w:ind w:left="1020" w:hanging="340"/>
      </w:pPr>
      <w:rPr>
        <w:rFonts w:ascii="Garamond" w:hAnsi="Garamond" w:hint="default"/>
      </w:rPr>
    </w:lvl>
    <w:lvl w:ilvl="3">
      <w:start w:val="1"/>
      <w:numFmt w:val="none"/>
      <w:lvlText w:val="(%4)"/>
      <w:lvlJc w:val="left"/>
      <w:pPr>
        <w:ind w:left="1360" w:hanging="340"/>
      </w:pPr>
      <w:rPr>
        <w:rFonts w:hint="default"/>
      </w:rPr>
    </w:lvl>
    <w:lvl w:ilvl="4">
      <w:start w:val="1"/>
      <w:numFmt w:val="none"/>
      <w:lvlText w:val="(%5)"/>
      <w:lvlJc w:val="left"/>
      <w:pPr>
        <w:ind w:left="1700" w:hanging="340"/>
      </w:pPr>
      <w:rPr>
        <w:rFonts w:hint="default"/>
      </w:rPr>
    </w:lvl>
    <w:lvl w:ilvl="5">
      <w:start w:val="1"/>
      <w:numFmt w:val="none"/>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9">
    <w:nsid w:val="35703F6A"/>
    <w:multiLevelType w:val="hybridMultilevel"/>
    <w:tmpl w:val="F3966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B8A5D8D"/>
    <w:multiLevelType w:val="hybridMultilevel"/>
    <w:tmpl w:val="539CFED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1">
    <w:nsid w:val="4C4831FD"/>
    <w:multiLevelType w:val="hybridMultilevel"/>
    <w:tmpl w:val="0DF6EDDA"/>
    <w:lvl w:ilvl="0" w:tplc="0C090001">
      <w:start w:val="1"/>
      <w:numFmt w:val="bullet"/>
      <w:lvlText w:val=""/>
      <w:lvlJc w:val="left"/>
      <w:pPr>
        <w:ind w:left="780" w:hanging="360"/>
      </w:pPr>
      <w:rPr>
        <w:rFonts w:ascii="Symbol" w:hAnsi="Symbol" w:cs="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cs="Wingdings" w:hint="default"/>
      </w:rPr>
    </w:lvl>
    <w:lvl w:ilvl="3" w:tplc="0C090001">
      <w:start w:val="1"/>
      <w:numFmt w:val="bullet"/>
      <w:lvlText w:val=""/>
      <w:lvlJc w:val="left"/>
      <w:pPr>
        <w:ind w:left="2940" w:hanging="360"/>
      </w:pPr>
      <w:rPr>
        <w:rFonts w:ascii="Symbol" w:hAnsi="Symbol" w:cs="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cs="Wingdings" w:hint="default"/>
      </w:rPr>
    </w:lvl>
    <w:lvl w:ilvl="6" w:tplc="0C090001">
      <w:start w:val="1"/>
      <w:numFmt w:val="bullet"/>
      <w:lvlText w:val=""/>
      <w:lvlJc w:val="left"/>
      <w:pPr>
        <w:ind w:left="5100" w:hanging="360"/>
      </w:pPr>
      <w:rPr>
        <w:rFonts w:ascii="Symbol" w:hAnsi="Symbol" w:cs="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cs="Wingdings" w:hint="default"/>
      </w:rPr>
    </w:lvl>
  </w:abstractNum>
  <w:abstractNum w:abstractNumId="12">
    <w:nsid w:val="55AD1A6F"/>
    <w:multiLevelType w:val="hybridMultilevel"/>
    <w:tmpl w:val="9DA2F73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3">
    <w:nsid w:val="5AC32D69"/>
    <w:multiLevelType w:val="hybridMultilevel"/>
    <w:tmpl w:val="9F9CAB5C"/>
    <w:lvl w:ilvl="0" w:tplc="0C090001">
      <w:start w:val="1"/>
      <w:numFmt w:val="bullet"/>
      <w:lvlText w:val=""/>
      <w:lvlJc w:val="left"/>
      <w:pPr>
        <w:ind w:left="720" w:hanging="360"/>
      </w:pPr>
      <w:rPr>
        <w:rFonts w:ascii="Symbol" w:hAnsi="Symbol" w:cs="Symbol" w:hint="default"/>
      </w:rPr>
    </w:lvl>
    <w:lvl w:ilvl="1" w:tplc="0C090001">
      <w:start w:val="1"/>
      <w:numFmt w:val="bullet"/>
      <w:lvlText w:val=""/>
      <w:lvlJc w:val="left"/>
      <w:pPr>
        <w:ind w:left="1440" w:hanging="360"/>
      </w:pPr>
      <w:rPr>
        <w:rFonts w:ascii="Symbol" w:hAnsi="Symbol" w:cs="Symbol"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4">
    <w:nsid w:val="664B254B"/>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6A4A75E7"/>
    <w:multiLevelType w:val="hybridMultilevel"/>
    <w:tmpl w:val="FE76B23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6">
    <w:nsid w:val="6BCF3A5C"/>
    <w:multiLevelType w:val="hybridMultilevel"/>
    <w:tmpl w:val="3314EE26"/>
    <w:lvl w:ilvl="0" w:tplc="0C090001">
      <w:start w:val="1"/>
      <w:numFmt w:val="bullet"/>
      <w:lvlText w:val=""/>
      <w:lvlJc w:val="left"/>
      <w:pPr>
        <w:ind w:left="780" w:hanging="360"/>
      </w:pPr>
      <w:rPr>
        <w:rFonts w:ascii="Symbol" w:hAnsi="Symbol" w:cs="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cs="Wingdings" w:hint="default"/>
      </w:rPr>
    </w:lvl>
    <w:lvl w:ilvl="3" w:tplc="0C090001">
      <w:start w:val="1"/>
      <w:numFmt w:val="bullet"/>
      <w:lvlText w:val=""/>
      <w:lvlJc w:val="left"/>
      <w:pPr>
        <w:ind w:left="2940" w:hanging="360"/>
      </w:pPr>
      <w:rPr>
        <w:rFonts w:ascii="Symbol" w:hAnsi="Symbol" w:cs="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cs="Wingdings" w:hint="default"/>
      </w:rPr>
    </w:lvl>
    <w:lvl w:ilvl="6" w:tplc="0C090001">
      <w:start w:val="1"/>
      <w:numFmt w:val="bullet"/>
      <w:lvlText w:val=""/>
      <w:lvlJc w:val="left"/>
      <w:pPr>
        <w:ind w:left="5100" w:hanging="360"/>
      </w:pPr>
      <w:rPr>
        <w:rFonts w:ascii="Symbol" w:hAnsi="Symbol" w:cs="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cs="Wingdings" w:hint="default"/>
      </w:rPr>
    </w:lvl>
  </w:abstractNum>
  <w:abstractNum w:abstractNumId="17">
    <w:nsid w:val="71117A51"/>
    <w:multiLevelType w:val="hybridMultilevel"/>
    <w:tmpl w:val="97A03DD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8">
    <w:nsid w:val="72627754"/>
    <w:multiLevelType w:val="hybridMultilevel"/>
    <w:tmpl w:val="684CA51A"/>
    <w:lvl w:ilvl="0" w:tplc="0C090001">
      <w:start w:val="1"/>
      <w:numFmt w:val="bullet"/>
      <w:lvlText w:val=""/>
      <w:lvlJc w:val="left"/>
      <w:pPr>
        <w:ind w:left="780" w:hanging="360"/>
      </w:pPr>
      <w:rPr>
        <w:rFonts w:ascii="Symbol" w:hAnsi="Symbol" w:cs="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cs="Wingdings" w:hint="default"/>
      </w:rPr>
    </w:lvl>
    <w:lvl w:ilvl="3" w:tplc="0C090001">
      <w:start w:val="1"/>
      <w:numFmt w:val="bullet"/>
      <w:lvlText w:val=""/>
      <w:lvlJc w:val="left"/>
      <w:pPr>
        <w:ind w:left="2940" w:hanging="360"/>
      </w:pPr>
      <w:rPr>
        <w:rFonts w:ascii="Symbol" w:hAnsi="Symbol" w:cs="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cs="Wingdings" w:hint="default"/>
      </w:rPr>
    </w:lvl>
    <w:lvl w:ilvl="6" w:tplc="0C090001">
      <w:start w:val="1"/>
      <w:numFmt w:val="bullet"/>
      <w:lvlText w:val=""/>
      <w:lvlJc w:val="left"/>
      <w:pPr>
        <w:ind w:left="5100" w:hanging="360"/>
      </w:pPr>
      <w:rPr>
        <w:rFonts w:ascii="Symbol" w:hAnsi="Symbol" w:cs="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cs="Wingdings" w:hint="default"/>
      </w:rPr>
    </w:lvl>
  </w:abstractNum>
  <w:abstractNum w:abstractNumId="19">
    <w:nsid w:val="7621165A"/>
    <w:multiLevelType w:val="hybridMultilevel"/>
    <w:tmpl w:val="935EE884"/>
    <w:lvl w:ilvl="0" w:tplc="0C090001">
      <w:start w:val="1"/>
      <w:numFmt w:val="bullet"/>
      <w:lvlText w:val=""/>
      <w:lvlJc w:val="left"/>
      <w:pPr>
        <w:ind w:left="822" w:hanging="360"/>
      </w:pPr>
      <w:rPr>
        <w:rFonts w:ascii="Symbol" w:hAnsi="Symbol" w:hint="default"/>
      </w:rPr>
    </w:lvl>
    <w:lvl w:ilvl="1" w:tplc="0C090001">
      <w:start w:val="1"/>
      <w:numFmt w:val="bullet"/>
      <w:lvlText w:val=""/>
      <w:lvlJc w:val="left"/>
      <w:pPr>
        <w:ind w:left="1542" w:hanging="360"/>
      </w:pPr>
      <w:rPr>
        <w:rFonts w:ascii="Symbol" w:hAnsi="Symbol" w:hint="default"/>
      </w:rPr>
    </w:lvl>
    <w:lvl w:ilvl="2" w:tplc="0C090005">
      <w:start w:val="1"/>
      <w:numFmt w:val="bullet"/>
      <w:lvlText w:val=""/>
      <w:lvlJc w:val="left"/>
      <w:pPr>
        <w:ind w:left="2262" w:hanging="360"/>
      </w:pPr>
      <w:rPr>
        <w:rFonts w:ascii="Wingdings" w:hAnsi="Wingdings" w:cs="Wingdings" w:hint="default"/>
      </w:rPr>
    </w:lvl>
    <w:lvl w:ilvl="3" w:tplc="0C090001">
      <w:start w:val="1"/>
      <w:numFmt w:val="bullet"/>
      <w:lvlText w:val=""/>
      <w:lvlJc w:val="left"/>
      <w:pPr>
        <w:ind w:left="2982" w:hanging="360"/>
      </w:pPr>
      <w:rPr>
        <w:rFonts w:ascii="Symbol" w:hAnsi="Symbol" w:cs="Symbol" w:hint="default"/>
      </w:rPr>
    </w:lvl>
    <w:lvl w:ilvl="4" w:tplc="0C090003">
      <w:start w:val="1"/>
      <w:numFmt w:val="bullet"/>
      <w:lvlText w:val="o"/>
      <w:lvlJc w:val="left"/>
      <w:pPr>
        <w:ind w:left="3702" w:hanging="360"/>
      </w:pPr>
      <w:rPr>
        <w:rFonts w:ascii="Courier New" w:hAnsi="Courier New" w:cs="Courier New" w:hint="default"/>
      </w:rPr>
    </w:lvl>
    <w:lvl w:ilvl="5" w:tplc="0C090005">
      <w:start w:val="1"/>
      <w:numFmt w:val="bullet"/>
      <w:lvlText w:val=""/>
      <w:lvlJc w:val="left"/>
      <w:pPr>
        <w:ind w:left="4422" w:hanging="360"/>
      </w:pPr>
      <w:rPr>
        <w:rFonts w:ascii="Wingdings" w:hAnsi="Wingdings" w:cs="Wingdings" w:hint="default"/>
      </w:rPr>
    </w:lvl>
    <w:lvl w:ilvl="6" w:tplc="0C090001">
      <w:start w:val="1"/>
      <w:numFmt w:val="bullet"/>
      <w:lvlText w:val=""/>
      <w:lvlJc w:val="left"/>
      <w:pPr>
        <w:ind w:left="5142" w:hanging="360"/>
      </w:pPr>
      <w:rPr>
        <w:rFonts w:ascii="Symbol" w:hAnsi="Symbol" w:cs="Symbol" w:hint="default"/>
      </w:rPr>
    </w:lvl>
    <w:lvl w:ilvl="7" w:tplc="0C090003">
      <w:start w:val="1"/>
      <w:numFmt w:val="bullet"/>
      <w:lvlText w:val="o"/>
      <w:lvlJc w:val="left"/>
      <w:pPr>
        <w:ind w:left="5862" w:hanging="360"/>
      </w:pPr>
      <w:rPr>
        <w:rFonts w:ascii="Courier New" w:hAnsi="Courier New" w:cs="Courier New" w:hint="default"/>
      </w:rPr>
    </w:lvl>
    <w:lvl w:ilvl="8" w:tplc="0C090005">
      <w:start w:val="1"/>
      <w:numFmt w:val="bullet"/>
      <w:lvlText w:val=""/>
      <w:lvlJc w:val="left"/>
      <w:pPr>
        <w:ind w:left="6582" w:hanging="360"/>
      </w:pPr>
      <w:rPr>
        <w:rFonts w:ascii="Wingdings" w:hAnsi="Wingdings" w:cs="Wingdings" w:hint="default"/>
      </w:rPr>
    </w:lvl>
  </w:abstractNum>
  <w:abstractNum w:abstractNumId="20">
    <w:nsid w:val="7C8A0BC1"/>
    <w:multiLevelType w:val="hybridMultilevel"/>
    <w:tmpl w:val="2FA42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9"/>
  </w:num>
  <w:num w:numId="5">
    <w:abstractNumId w:val="2"/>
  </w:num>
  <w:num w:numId="6">
    <w:abstractNumId w:val="4"/>
  </w:num>
  <w:num w:numId="7">
    <w:abstractNumId w:val="12"/>
  </w:num>
  <w:num w:numId="8">
    <w:abstractNumId w:val="11"/>
  </w:num>
  <w:num w:numId="9">
    <w:abstractNumId w:val="5"/>
  </w:num>
  <w:num w:numId="10">
    <w:abstractNumId w:val="10"/>
  </w:num>
  <w:num w:numId="11">
    <w:abstractNumId w:val="16"/>
  </w:num>
  <w:num w:numId="12">
    <w:abstractNumId w:val="15"/>
  </w:num>
  <w:num w:numId="13">
    <w:abstractNumId w:val="18"/>
  </w:num>
  <w:num w:numId="14">
    <w:abstractNumId w:val="3"/>
  </w:num>
  <w:num w:numId="15">
    <w:abstractNumId w:val="6"/>
  </w:num>
  <w:num w:numId="16">
    <w:abstractNumId w:val="0"/>
  </w:num>
  <w:num w:numId="17">
    <w:abstractNumId w:val="13"/>
  </w:num>
  <w:num w:numId="18">
    <w:abstractNumId w:val="1"/>
  </w:num>
  <w:num w:numId="19">
    <w:abstractNumId w:val="17"/>
  </w:num>
  <w:num w:numId="20">
    <w:abstractNumId w:val="20"/>
  </w:num>
  <w:num w:numId="21">
    <w:abstractNumId w:val="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D067AE"/>
    <w:rsid w:val="00002E60"/>
    <w:rsid w:val="00003730"/>
    <w:rsid w:val="000042EC"/>
    <w:rsid w:val="00005D1E"/>
    <w:rsid w:val="000061CA"/>
    <w:rsid w:val="0001256A"/>
    <w:rsid w:val="000128F6"/>
    <w:rsid w:val="0001329D"/>
    <w:rsid w:val="00016FC9"/>
    <w:rsid w:val="00022357"/>
    <w:rsid w:val="00022FEB"/>
    <w:rsid w:val="000234A8"/>
    <w:rsid w:val="0002387C"/>
    <w:rsid w:val="00023DEB"/>
    <w:rsid w:val="00024433"/>
    <w:rsid w:val="00024B9B"/>
    <w:rsid w:val="000250EF"/>
    <w:rsid w:val="00026A44"/>
    <w:rsid w:val="00026C33"/>
    <w:rsid w:val="000275CF"/>
    <w:rsid w:val="000348FD"/>
    <w:rsid w:val="00034912"/>
    <w:rsid w:val="00035E08"/>
    <w:rsid w:val="0003615A"/>
    <w:rsid w:val="0003736B"/>
    <w:rsid w:val="000378C0"/>
    <w:rsid w:val="00040AAE"/>
    <w:rsid w:val="00041B22"/>
    <w:rsid w:val="00042944"/>
    <w:rsid w:val="000440F4"/>
    <w:rsid w:val="00044352"/>
    <w:rsid w:val="00046A21"/>
    <w:rsid w:val="00052869"/>
    <w:rsid w:val="00053BB1"/>
    <w:rsid w:val="000554DE"/>
    <w:rsid w:val="00060CEA"/>
    <w:rsid w:val="000612FC"/>
    <w:rsid w:val="000613EB"/>
    <w:rsid w:val="0006462B"/>
    <w:rsid w:val="00066710"/>
    <w:rsid w:val="000672B7"/>
    <w:rsid w:val="00067ACA"/>
    <w:rsid w:val="00070543"/>
    <w:rsid w:val="000711C0"/>
    <w:rsid w:val="00071B9F"/>
    <w:rsid w:val="0007348E"/>
    <w:rsid w:val="0007378C"/>
    <w:rsid w:val="000741C3"/>
    <w:rsid w:val="0007484D"/>
    <w:rsid w:val="00075237"/>
    <w:rsid w:val="000774A3"/>
    <w:rsid w:val="0008204D"/>
    <w:rsid w:val="000823B7"/>
    <w:rsid w:val="00082AA6"/>
    <w:rsid w:val="000832DA"/>
    <w:rsid w:val="000857E7"/>
    <w:rsid w:val="00085C42"/>
    <w:rsid w:val="000862C7"/>
    <w:rsid w:val="00086AD3"/>
    <w:rsid w:val="00087632"/>
    <w:rsid w:val="00087C78"/>
    <w:rsid w:val="00090093"/>
    <w:rsid w:val="000919B7"/>
    <w:rsid w:val="00092825"/>
    <w:rsid w:val="00092D50"/>
    <w:rsid w:val="00093A61"/>
    <w:rsid w:val="00093B32"/>
    <w:rsid w:val="000A0284"/>
    <w:rsid w:val="000A40F1"/>
    <w:rsid w:val="000A4A51"/>
    <w:rsid w:val="000A772B"/>
    <w:rsid w:val="000A7C4B"/>
    <w:rsid w:val="000B0906"/>
    <w:rsid w:val="000B40EA"/>
    <w:rsid w:val="000B4134"/>
    <w:rsid w:val="000B5683"/>
    <w:rsid w:val="000B56AB"/>
    <w:rsid w:val="000B60DA"/>
    <w:rsid w:val="000C2D44"/>
    <w:rsid w:val="000C7E99"/>
    <w:rsid w:val="000C7EB1"/>
    <w:rsid w:val="000D099E"/>
    <w:rsid w:val="000D1A17"/>
    <w:rsid w:val="000D1D08"/>
    <w:rsid w:val="000D1E2E"/>
    <w:rsid w:val="000D2CE5"/>
    <w:rsid w:val="000D3029"/>
    <w:rsid w:val="000D4376"/>
    <w:rsid w:val="000D4B36"/>
    <w:rsid w:val="000D67AB"/>
    <w:rsid w:val="000D7AA2"/>
    <w:rsid w:val="000E1C35"/>
    <w:rsid w:val="000E3FCA"/>
    <w:rsid w:val="000E4DB3"/>
    <w:rsid w:val="000E755F"/>
    <w:rsid w:val="000F0971"/>
    <w:rsid w:val="000F1246"/>
    <w:rsid w:val="000F38FB"/>
    <w:rsid w:val="000F599D"/>
    <w:rsid w:val="000F6328"/>
    <w:rsid w:val="000F6A4F"/>
    <w:rsid w:val="000F77C6"/>
    <w:rsid w:val="001033A9"/>
    <w:rsid w:val="00104CB7"/>
    <w:rsid w:val="00107F83"/>
    <w:rsid w:val="0011019D"/>
    <w:rsid w:val="00110DBF"/>
    <w:rsid w:val="001126AB"/>
    <w:rsid w:val="00113473"/>
    <w:rsid w:val="001138C8"/>
    <w:rsid w:val="00114B84"/>
    <w:rsid w:val="00115E92"/>
    <w:rsid w:val="00115EEA"/>
    <w:rsid w:val="00116701"/>
    <w:rsid w:val="00117667"/>
    <w:rsid w:val="00117986"/>
    <w:rsid w:val="00117AFB"/>
    <w:rsid w:val="0012009E"/>
    <w:rsid w:val="00121727"/>
    <w:rsid w:val="00122724"/>
    <w:rsid w:val="00126A85"/>
    <w:rsid w:val="00126BC8"/>
    <w:rsid w:val="001276F4"/>
    <w:rsid w:val="001340DC"/>
    <w:rsid w:val="00134544"/>
    <w:rsid w:val="00135541"/>
    <w:rsid w:val="00137D5D"/>
    <w:rsid w:val="00140661"/>
    <w:rsid w:val="001407A1"/>
    <w:rsid w:val="001409E2"/>
    <w:rsid w:val="00140BBC"/>
    <w:rsid w:val="00141343"/>
    <w:rsid w:val="0014142D"/>
    <w:rsid w:val="00141460"/>
    <w:rsid w:val="001414DB"/>
    <w:rsid w:val="001416A8"/>
    <w:rsid w:val="00144472"/>
    <w:rsid w:val="001458B1"/>
    <w:rsid w:val="001472C6"/>
    <w:rsid w:val="00147F7C"/>
    <w:rsid w:val="00151C03"/>
    <w:rsid w:val="001520E5"/>
    <w:rsid w:val="0015228A"/>
    <w:rsid w:val="001526D9"/>
    <w:rsid w:val="0015286B"/>
    <w:rsid w:val="00153842"/>
    <w:rsid w:val="00153873"/>
    <w:rsid w:val="00155A52"/>
    <w:rsid w:val="001564CD"/>
    <w:rsid w:val="00157926"/>
    <w:rsid w:val="00157CE3"/>
    <w:rsid w:val="00161C47"/>
    <w:rsid w:val="00162E62"/>
    <w:rsid w:val="00163241"/>
    <w:rsid w:val="00165CA6"/>
    <w:rsid w:val="001668AF"/>
    <w:rsid w:val="0016753E"/>
    <w:rsid w:val="001704E3"/>
    <w:rsid w:val="001716DE"/>
    <w:rsid w:val="001722C6"/>
    <w:rsid w:val="00172B3C"/>
    <w:rsid w:val="00174BEF"/>
    <w:rsid w:val="001764FD"/>
    <w:rsid w:val="0017655D"/>
    <w:rsid w:val="001767F1"/>
    <w:rsid w:val="001775EE"/>
    <w:rsid w:val="001776BD"/>
    <w:rsid w:val="00180A99"/>
    <w:rsid w:val="001818DE"/>
    <w:rsid w:val="00181BA5"/>
    <w:rsid w:val="001820C9"/>
    <w:rsid w:val="0018273B"/>
    <w:rsid w:val="00182890"/>
    <w:rsid w:val="00182ADC"/>
    <w:rsid w:val="00182BAA"/>
    <w:rsid w:val="00182DA4"/>
    <w:rsid w:val="00183EED"/>
    <w:rsid w:val="001845E3"/>
    <w:rsid w:val="00185DA8"/>
    <w:rsid w:val="00185DD4"/>
    <w:rsid w:val="00191EB7"/>
    <w:rsid w:val="00192543"/>
    <w:rsid w:val="0019259B"/>
    <w:rsid w:val="00193B5D"/>
    <w:rsid w:val="00193BB6"/>
    <w:rsid w:val="001960FC"/>
    <w:rsid w:val="001969B5"/>
    <w:rsid w:val="001974F3"/>
    <w:rsid w:val="00197A46"/>
    <w:rsid w:val="00197DED"/>
    <w:rsid w:val="001A0EB8"/>
    <w:rsid w:val="001A14CC"/>
    <w:rsid w:val="001A1736"/>
    <w:rsid w:val="001A1CD0"/>
    <w:rsid w:val="001A28C6"/>
    <w:rsid w:val="001A4C59"/>
    <w:rsid w:val="001A76AA"/>
    <w:rsid w:val="001B0419"/>
    <w:rsid w:val="001B3F90"/>
    <w:rsid w:val="001B583B"/>
    <w:rsid w:val="001C1B70"/>
    <w:rsid w:val="001C1B94"/>
    <w:rsid w:val="001C20DD"/>
    <w:rsid w:val="001C475D"/>
    <w:rsid w:val="001C6C4C"/>
    <w:rsid w:val="001C7167"/>
    <w:rsid w:val="001D131C"/>
    <w:rsid w:val="001D144C"/>
    <w:rsid w:val="001D1703"/>
    <w:rsid w:val="001D2237"/>
    <w:rsid w:val="001D2393"/>
    <w:rsid w:val="001D2713"/>
    <w:rsid w:val="001D30D0"/>
    <w:rsid w:val="001D382C"/>
    <w:rsid w:val="001D39F4"/>
    <w:rsid w:val="001D3AB2"/>
    <w:rsid w:val="001D491E"/>
    <w:rsid w:val="001D4D60"/>
    <w:rsid w:val="001D5939"/>
    <w:rsid w:val="001D6648"/>
    <w:rsid w:val="001D69A8"/>
    <w:rsid w:val="001D7651"/>
    <w:rsid w:val="001E146F"/>
    <w:rsid w:val="001E5760"/>
    <w:rsid w:val="001E60CB"/>
    <w:rsid w:val="001F1752"/>
    <w:rsid w:val="001F1887"/>
    <w:rsid w:val="001F31E4"/>
    <w:rsid w:val="001F32DC"/>
    <w:rsid w:val="001F3748"/>
    <w:rsid w:val="001F3BBD"/>
    <w:rsid w:val="001F6821"/>
    <w:rsid w:val="00201F6F"/>
    <w:rsid w:val="00202D85"/>
    <w:rsid w:val="00203215"/>
    <w:rsid w:val="0020379C"/>
    <w:rsid w:val="002052EA"/>
    <w:rsid w:val="0020709E"/>
    <w:rsid w:val="00207C87"/>
    <w:rsid w:val="00211537"/>
    <w:rsid w:val="0021271E"/>
    <w:rsid w:val="00213E1D"/>
    <w:rsid w:val="002158AB"/>
    <w:rsid w:val="002160A0"/>
    <w:rsid w:val="00216509"/>
    <w:rsid w:val="002167AD"/>
    <w:rsid w:val="00216DFB"/>
    <w:rsid w:val="00217114"/>
    <w:rsid w:val="00217705"/>
    <w:rsid w:val="00221394"/>
    <w:rsid w:val="00222362"/>
    <w:rsid w:val="00222B2B"/>
    <w:rsid w:val="002258CA"/>
    <w:rsid w:val="00225E68"/>
    <w:rsid w:val="002261C7"/>
    <w:rsid w:val="00227477"/>
    <w:rsid w:val="0023068C"/>
    <w:rsid w:val="0023172F"/>
    <w:rsid w:val="0023234B"/>
    <w:rsid w:val="00232662"/>
    <w:rsid w:val="00233CAF"/>
    <w:rsid w:val="002342E0"/>
    <w:rsid w:val="002369CF"/>
    <w:rsid w:val="00237FA2"/>
    <w:rsid w:val="00240D3E"/>
    <w:rsid w:val="0024167D"/>
    <w:rsid w:val="00243AC7"/>
    <w:rsid w:val="002446BA"/>
    <w:rsid w:val="002448A8"/>
    <w:rsid w:val="00244ED4"/>
    <w:rsid w:val="00245062"/>
    <w:rsid w:val="0024550C"/>
    <w:rsid w:val="00245F74"/>
    <w:rsid w:val="00247650"/>
    <w:rsid w:val="00247D64"/>
    <w:rsid w:val="002505E0"/>
    <w:rsid w:val="00253822"/>
    <w:rsid w:val="00254836"/>
    <w:rsid w:val="002550AA"/>
    <w:rsid w:val="00257CD3"/>
    <w:rsid w:val="00260733"/>
    <w:rsid w:val="00260FD1"/>
    <w:rsid w:val="0026141D"/>
    <w:rsid w:val="002647FB"/>
    <w:rsid w:val="00266B06"/>
    <w:rsid w:val="00271179"/>
    <w:rsid w:val="002717B6"/>
    <w:rsid w:val="00274322"/>
    <w:rsid w:val="00274799"/>
    <w:rsid w:val="002770B7"/>
    <w:rsid w:val="00277BB9"/>
    <w:rsid w:val="002832E8"/>
    <w:rsid w:val="00283F04"/>
    <w:rsid w:val="0028476A"/>
    <w:rsid w:val="00285651"/>
    <w:rsid w:val="00285843"/>
    <w:rsid w:val="0028630C"/>
    <w:rsid w:val="00290802"/>
    <w:rsid w:val="00291453"/>
    <w:rsid w:val="00291CF1"/>
    <w:rsid w:val="002921D3"/>
    <w:rsid w:val="00293722"/>
    <w:rsid w:val="00296042"/>
    <w:rsid w:val="00296D4F"/>
    <w:rsid w:val="002A01B5"/>
    <w:rsid w:val="002A047F"/>
    <w:rsid w:val="002A0D72"/>
    <w:rsid w:val="002A17CD"/>
    <w:rsid w:val="002A1FB9"/>
    <w:rsid w:val="002A218D"/>
    <w:rsid w:val="002A26A9"/>
    <w:rsid w:val="002A26AF"/>
    <w:rsid w:val="002A506F"/>
    <w:rsid w:val="002A5F5F"/>
    <w:rsid w:val="002B2FC4"/>
    <w:rsid w:val="002B3023"/>
    <w:rsid w:val="002B433A"/>
    <w:rsid w:val="002B6C3F"/>
    <w:rsid w:val="002C12B6"/>
    <w:rsid w:val="002C235D"/>
    <w:rsid w:val="002C2A3C"/>
    <w:rsid w:val="002C2B4B"/>
    <w:rsid w:val="002C3056"/>
    <w:rsid w:val="002C3188"/>
    <w:rsid w:val="002C3D65"/>
    <w:rsid w:val="002C3F12"/>
    <w:rsid w:val="002C44DE"/>
    <w:rsid w:val="002C491D"/>
    <w:rsid w:val="002C4970"/>
    <w:rsid w:val="002C4DF9"/>
    <w:rsid w:val="002C5036"/>
    <w:rsid w:val="002C6BCB"/>
    <w:rsid w:val="002C791E"/>
    <w:rsid w:val="002C79FF"/>
    <w:rsid w:val="002C7C32"/>
    <w:rsid w:val="002D0137"/>
    <w:rsid w:val="002D0E8E"/>
    <w:rsid w:val="002D0FA2"/>
    <w:rsid w:val="002D102C"/>
    <w:rsid w:val="002D3372"/>
    <w:rsid w:val="002D3D77"/>
    <w:rsid w:val="002D4B60"/>
    <w:rsid w:val="002D5081"/>
    <w:rsid w:val="002D5B3C"/>
    <w:rsid w:val="002D6E11"/>
    <w:rsid w:val="002D6EEA"/>
    <w:rsid w:val="002E10B4"/>
    <w:rsid w:val="002E5E8D"/>
    <w:rsid w:val="002E7CEA"/>
    <w:rsid w:val="002F10DE"/>
    <w:rsid w:val="002F1107"/>
    <w:rsid w:val="002F11DB"/>
    <w:rsid w:val="002F283F"/>
    <w:rsid w:val="002F28D1"/>
    <w:rsid w:val="002F4487"/>
    <w:rsid w:val="002F49B9"/>
    <w:rsid w:val="002F6543"/>
    <w:rsid w:val="002F7069"/>
    <w:rsid w:val="002F7763"/>
    <w:rsid w:val="0030017E"/>
    <w:rsid w:val="003002A1"/>
    <w:rsid w:val="0030112C"/>
    <w:rsid w:val="00303971"/>
    <w:rsid w:val="00303E74"/>
    <w:rsid w:val="003054A0"/>
    <w:rsid w:val="00306BE8"/>
    <w:rsid w:val="00306DA2"/>
    <w:rsid w:val="003145A9"/>
    <w:rsid w:val="00314BA1"/>
    <w:rsid w:val="00315371"/>
    <w:rsid w:val="00316536"/>
    <w:rsid w:val="00316E91"/>
    <w:rsid w:val="00317BB2"/>
    <w:rsid w:val="003208F7"/>
    <w:rsid w:val="00320DD6"/>
    <w:rsid w:val="0032296C"/>
    <w:rsid w:val="003234B7"/>
    <w:rsid w:val="0032496F"/>
    <w:rsid w:val="003254B7"/>
    <w:rsid w:val="00326790"/>
    <w:rsid w:val="003268A8"/>
    <w:rsid w:val="0032784B"/>
    <w:rsid w:val="00330792"/>
    <w:rsid w:val="00331681"/>
    <w:rsid w:val="003321A1"/>
    <w:rsid w:val="0033608E"/>
    <w:rsid w:val="00336EFD"/>
    <w:rsid w:val="00337B1D"/>
    <w:rsid w:val="003405F4"/>
    <w:rsid w:val="00340EF1"/>
    <w:rsid w:val="003422A2"/>
    <w:rsid w:val="00342362"/>
    <w:rsid w:val="003439C5"/>
    <w:rsid w:val="00343D81"/>
    <w:rsid w:val="00346190"/>
    <w:rsid w:val="003465CF"/>
    <w:rsid w:val="0034672F"/>
    <w:rsid w:val="00347DC3"/>
    <w:rsid w:val="0035032F"/>
    <w:rsid w:val="00350E75"/>
    <w:rsid w:val="0035142A"/>
    <w:rsid w:val="00351EED"/>
    <w:rsid w:val="00352BE2"/>
    <w:rsid w:val="00353894"/>
    <w:rsid w:val="00354D64"/>
    <w:rsid w:val="003562AB"/>
    <w:rsid w:val="00356EDD"/>
    <w:rsid w:val="0035719D"/>
    <w:rsid w:val="00357D62"/>
    <w:rsid w:val="00360E2B"/>
    <w:rsid w:val="00361173"/>
    <w:rsid w:val="00361A55"/>
    <w:rsid w:val="00363755"/>
    <w:rsid w:val="00364190"/>
    <w:rsid w:val="0036607A"/>
    <w:rsid w:val="003660E5"/>
    <w:rsid w:val="00366557"/>
    <w:rsid w:val="00366ACC"/>
    <w:rsid w:val="00366E3E"/>
    <w:rsid w:val="00371762"/>
    <w:rsid w:val="00371FCD"/>
    <w:rsid w:val="0037203F"/>
    <w:rsid w:val="003724A1"/>
    <w:rsid w:val="00373013"/>
    <w:rsid w:val="003731C2"/>
    <w:rsid w:val="00373454"/>
    <w:rsid w:val="00374687"/>
    <w:rsid w:val="00375021"/>
    <w:rsid w:val="003759F0"/>
    <w:rsid w:val="00381BC6"/>
    <w:rsid w:val="0038222B"/>
    <w:rsid w:val="00384CA1"/>
    <w:rsid w:val="0038541C"/>
    <w:rsid w:val="003860A8"/>
    <w:rsid w:val="0038724C"/>
    <w:rsid w:val="00387756"/>
    <w:rsid w:val="00391359"/>
    <w:rsid w:val="0039293B"/>
    <w:rsid w:val="003941D9"/>
    <w:rsid w:val="00396255"/>
    <w:rsid w:val="0039627E"/>
    <w:rsid w:val="0039717B"/>
    <w:rsid w:val="00397A5A"/>
    <w:rsid w:val="003A028A"/>
    <w:rsid w:val="003A2DCA"/>
    <w:rsid w:val="003A430C"/>
    <w:rsid w:val="003A4B95"/>
    <w:rsid w:val="003A5500"/>
    <w:rsid w:val="003A67F3"/>
    <w:rsid w:val="003A73EF"/>
    <w:rsid w:val="003A7F05"/>
    <w:rsid w:val="003B13F8"/>
    <w:rsid w:val="003B1580"/>
    <w:rsid w:val="003B1AA2"/>
    <w:rsid w:val="003B49F7"/>
    <w:rsid w:val="003B5856"/>
    <w:rsid w:val="003B5F87"/>
    <w:rsid w:val="003B65D3"/>
    <w:rsid w:val="003B7676"/>
    <w:rsid w:val="003C0E6C"/>
    <w:rsid w:val="003C22C0"/>
    <w:rsid w:val="003C3271"/>
    <w:rsid w:val="003C7576"/>
    <w:rsid w:val="003D019A"/>
    <w:rsid w:val="003D0824"/>
    <w:rsid w:val="003D31ED"/>
    <w:rsid w:val="003D69E0"/>
    <w:rsid w:val="003D7C3C"/>
    <w:rsid w:val="003E1010"/>
    <w:rsid w:val="003E1E73"/>
    <w:rsid w:val="003E55E1"/>
    <w:rsid w:val="003E5701"/>
    <w:rsid w:val="003E6D98"/>
    <w:rsid w:val="003F1526"/>
    <w:rsid w:val="003F2655"/>
    <w:rsid w:val="003F54AC"/>
    <w:rsid w:val="003F5B7C"/>
    <w:rsid w:val="003F7652"/>
    <w:rsid w:val="0040259D"/>
    <w:rsid w:val="0040469B"/>
    <w:rsid w:val="004060D4"/>
    <w:rsid w:val="004062BB"/>
    <w:rsid w:val="00406B29"/>
    <w:rsid w:val="00406C2C"/>
    <w:rsid w:val="00407F3A"/>
    <w:rsid w:val="00410211"/>
    <w:rsid w:val="0041095C"/>
    <w:rsid w:val="00412589"/>
    <w:rsid w:val="0041308E"/>
    <w:rsid w:val="00417DB6"/>
    <w:rsid w:val="00417E97"/>
    <w:rsid w:val="00420B6A"/>
    <w:rsid w:val="00422BA5"/>
    <w:rsid w:val="00424341"/>
    <w:rsid w:val="004248C9"/>
    <w:rsid w:val="004264CA"/>
    <w:rsid w:val="00430848"/>
    <w:rsid w:val="00432B86"/>
    <w:rsid w:val="00433619"/>
    <w:rsid w:val="00435989"/>
    <w:rsid w:val="00435C69"/>
    <w:rsid w:val="00436057"/>
    <w:rsid w:val="00437CA0"/>
    <w:rsid w:val="004410ED"/>
    <w:rsid w:val="004412CE"/>
    <w:rsid w:val="00442CA4"/>
    <w:rsid w:val="00443776"/>
    <w:rsid w:val="00444044"/>
    <w:rsid w:val="00444D29"/>
    <w:rsid w:val="0044523A"/>
    <w:rsid w:val="00446E83"/>
    <w:rsid w:val="00450AF5"/>
    <w:rsid w:val="00451152"/>
    <w:rsid w:val="0045160C"/>
    <w:rsid w:val="0045175C"/>
    <w:rsid w:val="00451D1E"/>
    <w:rsid w:val="00452AA3"/>
    <w:rsid w:val="00453034"/>
    <w:rsid w:val="00457419"/>
    <w:rsid w:val="00460F2B"/>
    <w:rsid w:val="00460FD8"/>
    <w:rsid w:val="00462496"/>
    <w:rsid w:val="00462803"/>
    <w:rsid w:val="00463D4D"/>
    <w:rsid w:val="00465430"/>
    <w:rsid w:val="00465637"/>
    <w:rsid w:val="00466AD3"/>
    <w:rsid w:val="00467BFD"/>
    <w:rsid w:val="00470987"/>
    <w:rsid w:val="004716AD"/>
    <w:rsid w:val="00471CDB"/>
    <w:rsid w:val="0047297D"/>
    <w:rsid w:val="00472C7E"/>
    <w:rsid w:val="00472E66"/>
    <w:rsid w:val="004743BA"/>
    <w:rsid w:val="0047581E"/>
    <w:rsid w:val="00476804"/>
    <w:rsid w:val="004818D6"/>
    <w:rsid w:val="00481DDA"/>
    <w:rsid w:val="004822B2"/>
    <w:rsid w:val="00483107"/>
    <w:rsid w:val="00484622"/>
    <w:rsid w:val="00485211"/>
    <w:rsid w:val="00485BAA"/>
    <w:rsid w:val="004866AB"/>
    <w:rsid w:val="00486993"/>
    <w:rsid w:val="00486F4A"/>
    <w:rsid w:val="0048797C"/>
    <w:rsid w:val="00490A70"/>
    <w:rsid w:val="0049203D"/>
    <w:rsid w:val="00492388"/>
    <w:rsid w:val="004928C6"/>
    <w:rsid w:val="004969E4"/>
    <w:rsid w:val="00496B0B"/>
    <w:rsid w:val="0049718B"/>
    <w:rsid w:val="00497733"/>
    <w:rsid w:val="004A1741"/>
    <w:rsid w:val="004A210E"/>
    <w:rsid w:val="004A22A7"/>
    <w:rsid w:val="004A4235"/>
    <w:rsid w:val="004B3918"/>
    <w:rsid w:val="004B4633"/>
    <w:rsid w:val="004B52DC"/>
    <w:rsid w:val="004B684D"/>
    <w:rsid w:val="004B7234"/>
    <w:rsid w:val="004C1221"/>
    <w:rsid w:val="004C14FD"/>
    <w:rsid w:val="004C17E1"/>
    <w:rsid w:val="004C2E6C"/>
    <w:rsid w:val="004C49E0"/>
    <w:rsid w:val="004C4B2A"/>
    <w:rsid w:val="004C6E9D"/>
    <w:rsid w:val="004D082B"/>
    <w:rsid w:val="004D2796"/>
    <w:rsid w:val="004D2F34"/>
    <w:rsid w:val="004D7578"/>
    <w:rsid w:val="004D7587"/>
    <w:rsid w:val="004D75A0"/>
    <w:rsid w:val="004E07B1"/>
    <w:rsid w:val="004E112B"/>
    <w:rsid w:val="004E475B"/>
    <w:rsid w:val="004E627C"/>
    <w:rsid w:val="004E6BDB"/>
    <w:rsid w:val="004E6C10"/>
    <w:rsid w:val="004E7E87"/>
    <w:rsid w:val="004F0C27"/>
    <w:rsid w:val="004F221E"/>
    <w:rsid w:val="00503529"/>
    <w:rsid w:val="00503E4F"/>
    <w:rsid w:val="00505D31"/>
    <w:rsid w:val="00506DB0"/>
    <w:rsid w:val="00511219"/>
    <w:rsid w:val="005116B3"/>
    <w:rsid w:val="00511E07"/>
    <w:rsid w:val="0051388C"/>
    <w:rsid w:val="00516610"/>
    <w:rsid w:val="00521A65"/>
    <w:rsid w:val="00521F69"/>
    <w:rsid w:val="005222D1"/>
    <w:rsid w:val="00525CA7"/>
    <w:rsid w:val="00526509"/>
    <w:rsid w:val="00526662"/>
    <w:rsid w:val="0053045A"/>
    <w:rsid w:val="005317F9"/>
    <w:rsid w:val="005326EC"/>
    <w:rsid w:val="005329DE"/>
    <w:rsid w:val="00533A30"/>
    <w:rsid w:val="00533E1E"/>
    <w:rsid w:val="005340DA"/>
    <w:rsid w:val="00535599"/>
    <w:rsid w:val="005368BA"/>
    <w:rsid w:val="00536A05"/>
    <w:rsid w:val="00536D20"/>
    <w:rsid w:val="00536F5F"/>
    <w:rsid w:val="00537F10"/>
    <w:rsid w:val="00540305"/>
    <w:rsid w:val="005408AF"/>
    <w:rsid w:val="00540B0A"/>
    <w:rsid w:val="00540E64"/>
    <w:rsid w:val="00540FC1"/>
    <w:rsid w:val="005443BE"/>
    <w:rsid w:val="005444CB"/>
    <w:rsid w:val="00545A75"/>
    <w:rsid w:val="00547C71"/>
    <w:rsid w:val="00554BB6"/>
    <w:rsid w:val="00555C16"/>
    <w:rsid w:val="005564F9"/>
    <w:rsid w:val="00556881"/>
    <w:rsid w:val="005662E8"/>
    <w:rsid w:val="005720E0"/>
    <w:rsid w:val="00573B2F"/>
    <w:rsid w:val="00573C5A"/>
    <w:rsid w:val="0057560F"/>
    <w:rsid w:val="00576E74"/>
    <w:rsid w:val="0058051A"/>
    <w:rsid w:val="00580E33"/>
    <w:rsid w:val="005879EE"/>
    <w:rsid w:val="0059295D"/>
    <w:rsid w:val="005934F1"/>
    <w:rsid w:val="00593A69"/>
    <w:rsid w:val="00595919"/>
    <w:rsid w:val="00595CD5"/>
    <w:rsid w:val="005979F3"/>
    <w:rsid w:val="005A457B"/>
    <w:rsid w:val="005A679C"/>
    <w:rsid w:val="005A697D"/>
    <w:rsid w:val="005B394A"/>
    <w:rsid w:val="005B6EE5"/>
    <w:rsid w:val="005B774D"/>
    <w:rsid w:val="005C07CD"/>
    <w:rsid w:val="005C10FE"/>
    <w:rsid w:val="005C26E2"/>
    <w:rsid w:val="005C45AA"/>
    <w:rsid w:val="005C506B"/>
    <w:rsid w:val="005C5CB2"/>
    <w:rsid w:val="005C7091"/>
    <w:rsid w:val="005C7E95"/>
    <w:rsid w:val="005D007E"/>
    <w:rsid w:val="005D0A0F"/>
    <w:rsid w:val="005D0D51"/>
    <w:rsid w:val="005D1289"/>
    <w:rsid w:val="005D3CD2"/>
    <w:rsid w:val="005D49B5"/>
    <w:rsid w:val="005D60BD"/>
    <w:rsid w:val="005D6D06"/>
    <w:rsid w:val="005D72C0"/>
    <w:rsid w:val="005E0908"/>
    <w:rsid w:val="005E0E7B"/>
    <w:rsid w:val="005E24A7"/>
    <w:rsid w:val="005E3AC3"/>
    <w:rsid w:val="005E4CF0"/>
    <w:rsid w:val="005E633F"/>
    <w:rsid w:val="005E6CAF"/>
    <w:rsid w:val="005F11E0"/>
    <w:rsid w:val="005F2D7C"/>
    <w:rsid w:val="005F3105"/>
    <w:rsid w:val="005F31C9"/>
    <w:rsid w:val="005F4466"/>
    <w:rsid w:val="005F448B"/>
    <w:rsid w:val="005F496B"/>
    <w:rsid w:val="005F4AE2"/>
    <w:rsid w:val="005F604D"/>
    <w:rsid w:val="005F7CB7"/>
    <w:rsid w:val="00600617"/>
    <w:rsid w:val="00600F65"/>
    <w:rsid w:val="0060186D"/>
    <w:rsid w:val="006029F1"/>
    <w:rsid w:val="006036A5"/>
    <w:rsid w:val="006047F9"/>
    <w:rsid w:val="00606CAA"/>
    <w:rsid w:val="00611C67"/>
    <w:rsid w:val="00615099"/>
    <w:rsid w:val="00615DD3"/>
    <w:rsid w:val="006165B5"/>
    <w:rsid w:val="0062036A"/>
    <w:rsid w:val="006210E1"/>
    <w:rsid w:val="00622656"/>
    <w:rsid w:val="00625C07"/>
    <w:rsid w:val="00627983"/>
    <w:rsid w:val="00627B7D"/>
    <w:rsid w:val="00627F30"/>
    <w:rsid w:val="0063103D"/>
    <w:rsid w:val="006333D5"/>
    <w:rsid w:val="00633B62"/>
    <w:rsid w:val="00634A24"/>
    <w:rsid w:val="00635029"/>
    <w:rsid w:val="006372B2"/>
    <w:rsid w:val="00637313"/>
    <w:rsid w:val="00637FD9"/>
    <w:rsid w:val="00640D13"/>
    <w:rsid w:val="00642BB2"/>
    <w:rsid w:val="00644583"/>
    <w:rsid w:val="00645443"/>
    <w:rsid w:val="00645C93"/>
    <w:rsid w:val="00646A47"/>
    <w:rsid w:val="00651807"/>
    <w:rsid w:val="006538EC"/>
    <w:rsid w:val="006544A8"/>
    <w:rsid w:val="0065603C"/>
    <w:rsid w:val="00656CE6"/>
    <w:rsid w:val="00656CF3"/>
    <w:rsid w:val="006571CA"/>
    <w:rsid w:val="00657255"/>
    <w:rsid w:val="00660C62"/>
    <w:rsid w:val="006636E5"/>
    <w:rsid w:val="006664E6"/>
    <w:rsid w:val="0067045E"/>
    <w:rsid w:val="006715C1"/>
    <w:rsid w:val="00671769"/>
    <w:rsid w:val="00672149"/>
    <w:rsid w:val="00672A71"/>
    <w:rsid w:val="00673261"/>
    <w:rsid w:val="00676426"/>
    <w:rsid w:val="00680A14"/>
    <w:rsid w:val="00681031"/>
    <w:rsid w:val="006810E2"/>
    <w:rsid w:val="0068273F"/>
    <w:rsid w:val="00683B6F"/>
    <w:rsid w:val="0068451E"/>
    <w:rsid w:val="00684D08"/>
    <w:rsid w:val="00687507"/>
    <w:rsid w:val="00690285"/>
    <w:rsid w:val="00691174"/>
    <w:rsid w:val="00691975"/>
    <w:rsid w:val="006952BA"/>
    <w:rsid w:val="00695DCB"/>
    <w:rsid w:val="00696CA1"/>
    <w:rsid w:val="00697607"/>
    <w:rsid w:val="006977DB"/>
    <w:rsid w:val="0069781F"/>
    <w:rsid w:val="00697D46"/>
    <w:rsid w:val="006A02DD"/>
    <w:rsid w:val="006A2218"/>
    <w:rsid w:val="006B4D42"/>
    <w:rsid w:val="006B5758"/>
    <w:rsid w:val="006B60EF"/>
    <w:rsid w:val="006C0704"/>
    <w:rsid w:val="006C2458"/>
    <w:rsid w:val="006C2489"/>
    <w:rsid w:val="006C4944"/>
    <w:rsid w:val="006C55CD"/>
    <w:rsid w:val="006D044F"/>
    <w:rsid w:val="006D10C3"/>
    <w:rsid w:val="006D136C"/>
    <w:rsid w:val="006D1A24"/>
    <w:rsid w:val="006D2727"/>
    <w:rsid w:val="006D2DA9"/>
    <w:rsid w:val="006D3C9F"/>
    <w:rsid w:val="006D470B"/>
    <w:rsid w:val="006E15D5"/>
    <w:rsid w:val="006E32C0"/>
    <w:rsid w:val="006F7874"/>
    <w:rsid w:val="0070018F"/>
    <w:rsid w:val="00700876"/>
    <w:rsid w:val="00701376"/>
    <w:rsid w:val="007023F5"/>
    <w:rsid w:val="00702A04"/>
    <w:rsid w:val="00703171"/>
    <w:rsid w:val="0070532B"/>
    <w:rsid w:val="00706ACD"/>
    <w:rsid w:val="00707462"/>
    <w:rsid w:val="00707CBB"/>
    <w:rsid w:val="00711B68"/>
    <w:rsid w:val="0071399F"/>
    <w:rsid w:val="00715D2E"/>
    <w:rsid w:val="007165E5"/>
    <w:rsid w:val="00716BBD"/>
    <w:rsid w:val="00720915"/>
    <w:rsid w:val="00720DF4"/>
    <w:rsid w:val="007214CB"/>
    <w:rsid w:val="0072156D"/>
    <w:rsid w:val="00722749"/>
    <w:rsid w:val="00722DBC"/>
    <w:rsid w:val="007236D0"/>
    <w:rsid w:val="00724667"/>
    <w:rsid w:val="00726B0D"/>
    <w:rsid w:val="0073000B"/>
    <w:rsid w:val="0073038B"/>
    <w:rsid w:val="007307F5"/>
    <w:rsid w:val="007321CB"/>
    <w:rsid w:val="007360AD"/>
    <w:rsid w:val="00740E75"/>
    <w:rsid w:val="00741DEB"/>
    <w:rsid w:val="00742293"/>
    <w:rsid w:val="00742BE5"/>
    <w:rsid w:val="00746B36"/>
    <w:rsid w:val="00746DDB"/>
    <w:rsid w:val="007511D6"/>
    <w:rsid w:val="00752B37"/>
    <w:rsid w:val="0075315D"/>
    <w:rsid w:val="00753D4B"/>
    <w:rsid w:val="00754496"/>
    <w:rsid w:val="00755B7E"/>
    <w:rsid w:val="00756BED"/>
    <w:rsid w:val="00756E20"/>
    <w:rsid w:val="007571D6"/>
    <w:rsid w:val="007644B5"/>
    <w:rsid w:val="007649C4"/>
    <w:rsid w:val="00765D77"/>
    <w:rsid w:val="00766540"/>
    <w:rsid w:val="007675A4"/>
    <w:rsid w:val="0076790D"/>
    <w:rsid w:val="00773798"/>
    <w:rsid w:val="00774566"/>
    <w:rsid w:val="00774C31"/>
    <w:rsid w:val="00776B80"/>
    <w:rsid w:val="00780546"/>
    <w:rsid w:val="00780D53"/>
    <w:rsid w:val="0078166F"/>
    <w:rsid w:val="00781D9B"/>
    <w:rsid w:val="00782683"/>
    <w:rsid w:val="0078416A"/>
    <w:rsid w:val="00785096"/>
    <w:rsid w:val="00786B2E"/>
    <w:rsid w:val="00787720"/>
    <w:rsid w:val="00790B73"/>
    <w:rsid w:val="007931CD"/>
    <w:rsid w:val="00793DDC"/>
    <w:rsid w:val="007940D2"/>
    <w:rsid w:val="007940DC"/>
    <w:rsid w:val="00794E89"/>
    <w:rsid w:val="0079575D"/>
    <w:rsid w:val="00795B89"/>
    <w:rsid w:val="007968F5"/>
    <w:rsid w:val="007A1632"/>
    <w:rsid w:val="007A1D64"/>
    <w:rsid w:val="007A3830"/>
    <w:rsid w:val="007A650D"/>
    <w:rsid w:val="007B0F2D"/>
    <w:rsid w:val="007B246F"/>
    <w:rsid w:val="007B2EED"/>
    <w:rsid w:val="007B2F91"/>
    <w:rsid w:val="007B63F6"/>
    <w:rsid w:val="007B6614"/>
    <w:rsid w:val="007C0C3B"/>
    <w:rsid w:val="007C0E8B"/>
    <w:rsid w:val="007C1AEE"/>
    <w:rsid w:val="007C1F9B"/>
    <w:rsid w:val="007C32FF"/>
    <w:rsid w:val="007C4F2A"/>
    <w:rsid w:val="007C5C6B"/>
    <w:rsid w:val="007C5EE4"/>
    <w:rsid w:val="007C7949"/>
    <w:rsid w:val="007D12CA"/>
    <w:rsid w:val="007D2290"/>
    <w:rsid w:val="007D2463"/>
    <w:rsid w:val="007D333B"/>
    <w:rsid w:val="007D3EE5"/>
    <w:rsid w:val="007D5D66"/>
    <w:rsid w:val="007D60D1"/>
    <w:rsid w:val="007D6B89"/>
    <w:rsid w:val="007D70D1"/>
    <w:rsid w:val="007E015E"/>
    <w:rsid w:val="007E0700"/>
    <w:rsid w:val="007E1F02"/>
    <w:rsid w:val="007E2D47"/>
    <w:rsid w:val="007E3268"/>
    <w:rsid w:val="007E5220"/>
    <w:rsid w:val="007F0213"/>
    <w:rsid w:val="007F0BA6"/>
    <w:rsid w:val="007F1124"/>
    <w:rsid w:val="007F262A"/>
    <w:rsid w:val="007F3B20"/>
    <w:rsid w:val="007F49BC"/>
    <w:rsid w:val="007F4FE3"/>
    <w:rsid w:val="00801CA9"/>
    <w:rsid w:val="0080259A"/>
    <w:rsid w:val="008025EA"/>
    <w:rsid w:val="00803FFF"/>
    <w:rsid w:val="008046CD"/>
    <w:rsid w:val="00804949"/>
    <w:rsid w:val="00804CAC"/>
    <w:rsid w:val="00805333"/>
    <w:rsid w:val="00806C9A"/>
    <w:rsid w:val="00807E0C"/>
    <w:rsid w:val="00813706"/>
    <w:rsid w:val="0081590E"/>
    <w:rsid w:val="00816C5F"/>
    <w:rsid w:val="00817AB4"/>
    <w:rsid w:val="0082152E"/>
    <w:rsid w:val="0082204D"/>
    <w:rsid w:val="00822F6A"/>
    <w:rsid w:val="00825294"/>
    <w:rsid w:val="00825CF4"/>
    <w:rsid w:val="0082601F"/>
    <w:rsid w:val="0082648E"/>
    <w:rsid w:val="00826DFA"/>
    <w:rsid w:val="00830793"/>
    <w:rsid w:val="0083164D"/>
    <w:rsid w:val="00831E9A"/>
    <w:rsid w:val="00832D5F"/>
    <w:rsid w:val="00833233"/>
    <w:rsid w:val="00834424"/>
    <w:rsid w:val="00835054"/>
    <w:rsid w:val="00840809"/>
    <w:rsid w:val="008417FF"/>
    <w:rsid w:val="00842A4B"/>
    <w:rsid w:val="008447DD"/>
    <w:rsid w:val="00846040"/>
    <w:rsid w:val="00846A23"/>
    <w:rsid w:val="0084725B"/>
    <w:rsid w:val="00850D22"/>
    <w:rsid w:val="0085139B"/>
    <w:rsid w:val="008514EE"/>
    <w:rsid w:val="00852D33"/>
    <w:rsid w:val="00854587"/>
    <w:rsid w:val="00855213"/>
    <w:rsid w:val="00856682"/>
    <w:rsid w:val="00857A8E"/>
    <w:rsid w:val="0086004A"/>
    <w:rsid w:val="00861E76"/>
    <w:rsid w:val="0086332E"/>
    <w:rsid w:val="00863350"/>
    <w:rsid w:val="00864A13"/>
    <w:rsid w:val="008663DB"/>
    <w:rsid w:val="008732F8"/>
    <w:rsid w:val="00873CAD"/>
    <w:rsid w:val="008749A5"/>
    <w:rsid w:val="00876866"/>
    <w:rsid w:val="00877938"/>
    <w:rsid w:val="00884131"/>
    <w:rsid w:val="00884484"/>
    <w:rsid w:val="00884D52"/>
    <w:rsid w:val="008878D4"/>
    <w:rsid w:val="00890447"/>
    <w:rsid w:val="00890FA4"/>
    <w:rsid w:val="00892402"/>
    <w:rsid w:val="008954AE"/>
    <w:rsid w:val="00895B8B"/>
    <w:rsid w:val="00895D40"/>
    <w:rsid w:val="0089750F"/>
    <w:rsid w:val="008A0505"/>
    <w:rsid w:val="008A6AB7"/>
    <w:rsid w:val="008B01D3"/>
    <w:rsid w:val="008B090C"/>
    <w:rsid w:val="008B2BDA"/>
    <w:rsid w:val="008B3F5F"/>
    <w:rsid w:val="008B7444"/>
    <w:rsid w:val="008C1A83"/>
    <w:rsid w:val="008C20DD"/>
    <w:rsid w:val="008C21DA"/>
    <w:rsid w:val="008C458F"/>
    <w:rsid w:val="008C4A9C"/>
    <w:rsid w:val="008C53E4"/>
    <w:rsid w:val="008C5CF9"/>
    <w:rsid w:val="008C63F0"/>
    <w:rsid w:val="008D00D9"/>
    <w:rsid w:val="008D3D78"/>
    <w:rsid w:val="008D3F87"/>
    <w:rsid w:val="008D413C"/>
    <w:rsid w:val="008D71D3"/>
    <w:rsid w:val="008D72BF"/>
    <w:rsid w:val="008E0CB3"/>
    <w:rsid w:val="008E1585"/>
    <w:rsid w:val="008E23C0"/>
    <w:rsid w:val="008E3857"/>
    <w:rsid w:val="008E385C"/>
    <w:rsid w:val="008E454C"/>
    <w:rsid w:val="008E5520"/>
    <w:rsid w:val="008E59CE"/>
    <w:rsid w:val="008E5C3A"/>
    <w:rsid w:val="008E65C4"/>
    <w:rsid w:val="008E67A8"/>
    <w:rsid w:val="008E6D43"/>
    <w:rsid w:val="008F1802"/>
    <w:rsid w:val="008F701A"/>
    <w:rsid w:val="009013E3"/>
    <w:rsid w:val="0090247B"/>
    <w:rsid w:val="009040EC"/>
    <w:rsid w:val="00904ADA"/>
    <w:rsid w:val="00905996"/>
    <w:rsid w:val="00906E9D"/>
    <w:rsid w:val="00911215"/>
    <w:rsid w:val="00911C88"/>
    <w:rsid w:val="00911E5C"/>
    <w:rsid w:val="00913903"/>
    <w:rsid w:val="009144BD"/>
    <w:rsid w:val="00916252"/>
    <w:rsid w:val="00917000"/>
    <w:rsid w:val="009170A1"/>
    <w:rsid w:val="00920702"/>
    <w:rsid w:val="00921C0F"/>
    <w:rsid w:val="00922C54"/>
    <w:rsid w:val="009230FD"/>
    <w:rsid w:val="00923524"/>
    <w:rsid w:val="009237EB"/>
    <w:rsid w:val="00923ED9"/>
    <w:rsid w:val="0092542E"/>
    <w:rsid w:val="00927551"/>
    <w:rsid w:val="009279F3"/>
    <w:rsid w:val="00927CE7"/>
    <w:rsid w:val="0093017D"/>
    <w:rsid w:val="00930448"/>
    <w:rsid w:val="00930FBA"/>
    <w:rsid w:val="009335B4"/>
    <w:rsid w:val="009345FF"/>
    <w:rsid w:val="00935B0B"/>
    <w:rsid w:val="009425D9"/>
    <w:rsid w:val="00942A28"/>
    <w:rsid w:val="009434E9"/>
    <w:rsid w:val="00944DC6"/>
    <w:rsid w:val="00946F74"/>
    <w:rsid w:val="00947724"/>
    <w:rsid w:val="00947D90"/>
    <w:rsid w:val="009513C2"/>
    <w:rsid w:val="00952378"/>
    <w:rsid w:val="009526B6"/>
    <w:rsid w:val="009528DF"/>
    <w:rsid w:val="0095306D"/>
    <w:rsid w:val="00953F6B"/>
    <w:rsid w:val="00954B41"/>
    <w:rsid w:val="00954C17"/>
    <w:rsid w:val="0095515D"/>
    <w:rsid w:val="00955621"/>
    <w:rsid w:val="00960AAB"/>
    <w:rsid w:val="00962257"/>
    <w:rsid w:val="009627CB"/>
    <w:rsid w:val="009637A1"/>
    <w:rsid w:val="00963B98"/>
    <w:rsid w:val="009651C7"/>
    <w:rsid w:val="009663CC"/>
    <w:rsid w:val="009666DE"/>
    <w:rsid w:val="0096728D"/>
    <w:rsid w:val="009703DE"/>
    <w:rsid w:val="00971099"/>
    <w:rsid w:val="009712AF"/>
    <w:rsid w:val="00971C4B"/>
    <w:rsid w:val="00972BB3"/>
    <w:rsid w:val="00972DA3"/>
    <w:rsid w:val="00973823"/>
    <w:rsid w:val="0097510F"/>
    <w:rsid w:val="0097668C"/>
    <w:rsid w:val="00976705"/>
    <w:rsid w:val="00976F46"/>
    <w:rsid w:val="00977D4C"/>
    <w:rsid w:val="00980153"/>
    <w:rsid w:val="00986978"/>
    <w:rsid w:val="0098737E"/>
    <w:rsid w:val="00993244"/>
    <w:rsid w:val="0099676A"/>
    <w:rsid w:val="00997338"/>
    <w:rsid w:val="0099733E"/>
    <w:rsid w:val="009A348A"/>
    <w:rsid w:val="009A3CF1"/>
    <w:rsid w:val="009A407F"/>
    <w:rsid w:val="009A4221"/>
    <w:rsid w:val="009A69CF"/>
    <w:rsid w:val="009A77CF"/>
    <w:rsid w:val="009B040F"/>
    <w:rsid w:val="009B0B16"/>
    <w:rsid w:val="009B2E74"/>
    <w:rsid w:val="009B4681"/>
    <w:rsid w:val="009B5AB5"/>
    <w:rsid w:val="009B6A50"/>
    <w:rsid w:val="009B712C"/>
    <w:rsid w:val="009B7D76"/>
    <w:rsid w:val="009C0092"/>
    <w:rsid w:val="009C0E07"/>
    <w:rsid w:val="009C1CEA"/>
    <w:rsid w:val="009C32F2"/>
    <w:rsid w:val="009C38E1"/>
    <w:rsid w:val="009C42E9"/>
    <w:rsid w:val="009C4B4D"/>
    <w:rsid w:val="009C4C2F"/>
    <w:rsid w:val="009C4E5B"/>
    <w:rsid w:val="009C5F02"/>
    <w:rsid w:val="009C67A9"/>
    <w:rsid w:val="009C6D26"/>
    <w:rsid w:val="009C75F3"/>
    <w:rsid w:val="009D09FE"/>
    <w:rsid w:val="009D2FCC"/>
    <w:rsid w:val="009D4D54"/>
    <w:rsid w:val="009D6BFB"/>
    <w:rsid w:val="009D7708"/>
    <w:rsid w:val="009D7D46"/>
    <w:rsid w:val="009E237F"/>
    <w:rsid w:val="009E23A6"/>
    <w:rsid w:val="009E48E4"/>
    <w:rsid w:val="009E4BED"/>
    <w:rsid w:val="009E7489"/>
    <w:rsid w:val="009E75AB"/>
    <w:rsid w:val="009F0D7E"/>
    <w:rsid w:val="009F1A82"/>
    <w:rsid w:val="009F33D0"/>
    <w:rsid w:val="009F3BCD"/>
    <w:rsid w:val="009F5ECD"/>
    <w:rsid w:val="009F7873"/>
    <w:rsid w:val="009F7C83"/>
    <w:rsid w:val="00A00F7D"/>
    <w:rsid w:val="00A01492"/>
    <w:rsid w:val="00A018B6"/>
    <w:rsid w:val="00A01D81"/>
    <w:rsid w:val="00A030B0"/>
    <w:rsid w:val="00A054C8"/>
    <w:rsid w:val="00A101BA"/>
    <w:rsid w:val="00A1082F"/>
    <w:rsid w:val="00A139A1"/>
    <w:rsid w:val="00A1425D"/>
    <w:rsid w:val="00A14376"/>
    <w:rsid w:val="00A14CDF"/>
    <w:rsid w:val="00A165C7"/>
    <w:rsid w:val="00A175F8"/>
    <w:rsid w:val="00A2138C"/>
    <w:rsid w:val="00A214A3"/>
    <w:rsid w:val="00A21562"/>
    <w:rsid w:val="00A21705"/>
    <w:rsid w:val="00A230D4"/>
    <w:rsid w:val="00A23523"/>
    <w:rsid w:val="00A25D5D"/>
    <w:rsid w:val="00A25E0C"/>
    <w:rsid w:val="00A260E3"/>
    <w:rsid w:val="00A340AC"/>
    <w:rsid w:val="00A37178"/>
    <w:rsid w:val="00A37A54"/>
    <w:rsid w:val="00A37BD3"/>
    <w:rsid w:val="00A40ABE"/>
    <w:rsid w:val="00A40C99"/>
    <w:rsid w:val="00A45B9A"/>
    <w:rsid w:val="00A50230"/>
    <w:rsid w:val="00A54318"/>
    <w:rsid w:val="00A5441D"/>
    <w:rsid w:val="00A55936"/>
    <w:rsid w:val="00A566A5"/>
    <w:rsid w:val="00A56D87"/>
    <w:rsid w:val="00A60A22"/>
    <w:rsid w:val="00A6347D"/>
    <w:rsid w:val="00A638CC"/>
    <w:rsid w:val="00A65720"/>
    <w:rsid w:val="00A65ED8"/>
    <w:rsid w:val="00A66DC8"/>
    <w:rsid w:val="00A6713F"/>
    <w:rsid w:val="00A67576"/>
    <w:rsid w:val="00A7067E"/>
    <w:rsid w:val="00A71EAD"/>
    <w:rsid w:val="00A72309"/>
    <w:rsid w:val="00A7629B"/>
    <w:rsid w:val="00A768D1"/>
    <w:rsid w:val="00A77152"/>
    <w:rsid w:val="00A77229"/>
    <w:rsid w:val="00A823F0"/>
    <w:rsid w:val="00A83204"/>
    <w:rsid w:val="00A832A3"/>
    <w:rsid w:val="00A836B7"/>
    <w:rsid w:val="00A83F6D"/>
    <w:rsid w:val="00A85443"/>
    <w:rsid w:val="00A90D68"/>
    <w:rsid w:val="00A90D81"/>
    <w:rsid w:val="00A92280"/>
    <w:rsid w:val="00A92887"/>
    <w:rsid w:val="00A92CF4"/>
    <w:rsid w:val="00A93268"/>
    <w:rsid w:val="00A932A5"/>
    <w:rsid w:val="00A95109"/>
    <w:rsid w:val="00A9611B"/>
    <w:rsid w:val="00A97961"/>
    <w:rsid w:val="00AA25C5"/>
    <w:rsid w:val="00AA2735"/>
    <w:rsid w:val="00AA46FD"/>
    <w:rsid w:val="00AA51D7"/>
    <w:rsid w:val="00AA6CAA"/>
    <w:rsid w:val="00AA788E"/>
    <w:rsid w:val="00AA7BB4"/>
    <w:rsid w:val="00AB131E"/>
    <w:rsid w:val="00AB1F2D"/>
    <w:rsid w:val="00AB50B5"/>
    <w:rsid w:val="00AB7AD1"/>
    <w:rsid w:val="00AC06EA"/>
    <w:rsid w:val="00AC421B"/>
    <w:rsid w:val="00AC56D5"/>
    <w:rsid w:val="00AC67A3"/>
    <w:rsid w:val="00AC7655"/>
    <w:rsid w:val="00AD13BB"/>
    <w:rsid w:val="00AD148F"/>
    <w:rsid w:val="00AD3634"/>
    <w:rsid w:val="00AD3C13"/>
    <w:rsid w:val="00AD4606"/>
    <w:rsid w:val="00AD52E6"/>
    <w:rsid w:val="00AD5697"/>
    <w:rsid w:val="00AD5D63"/>
    <w:rsid w:val="00AD6A9D"/>
    <w:rsid w:val="00AD7EFE"/>
    <w:rsid w:val="00AE43CA"/>
    <w:rsid w:val="00AE43D2"/>
    <w:rsid w:val="00AE4A7C"/>
    <w:rsid w:val="00AE5737"/>
    <w:rsid w:val="00AE60B7"/>
    <w:rsid w:val="00AE6173"/>
    <w:rsid w:val="00AE76CD"/>
    <w:rsid w:val="00AE7D59"/>
    <w:rsid w:val="00AE7E88"/>
    <w:rsid w:val="00AF0143"/>
    <w:rsid w:val="00AF0D81"/>
    <w:rsid w:val="00AF12A2"/>
    <w:rsid w:val="00AF14E6"/>
    <w:rsid w:val="00AF266D"/>
    <w:rsid w:val="00AF32B7"/>
    <w:rsid w:val="00AF4A28"/>
    <w:rsid w:val="00AF516C"/>
    <w:rsid w:val="00AF61B4"/>
    <w:rsid w:val="00AF798C"/>
    <w:rsid w:val="00B009CE"/>
    <w:rsid w:val="00B01A51"/>
    <w:rsid w:val="00B034EF"/>
    <w:rsid w:val="00B0445A"/>
    <w:rsid w:val="00B0523C"/>
    <w:rsid w:val="00B05ED7"/>
    <w:rsid w:val="00B061A9"/>
    <w:rsid w:val="00B06CFD"/>
    <w:rsid w:val="00B078A7"/>
    <w:rsid w:val="00B12691"/>
    <w:rsid w:val="00B1281D"/>
    <w:rsid w:val="00B1467A"/>
    <w:rsid w:val="00B15809"/>
    <w:rsid w:val="00B16C55"/>
    <w:rsid w:val="00B174A4"/>
    <w:rsid w:val="00B222A3"/>
    <w:rsid w:val="00B22C41"/>
    <w:rsid w:val="00B23A62"/>
    <w:rsid w:val="00B25702"/>
    <w:rsid w:val="00B278A9"/>
    <w:rsid w:val="00B310A1"/>
    <w:rsid w:val="00B335BC"/>
    <w:rsid w:val="00B33C7E"/>
    <w:rsid w:val="00B3419A"/>
    <w:rsid w:val="00B3468B"/>
    <w:rsid w:val="00B34CF4"/>
    <w:rsid w:val="00B361B5"/>
    <w:rsid w:val="00B40B61"/>
    <w:rsid w:val="00B4197F"/>
    <w:rsid w:val="00B4254D"/>
    <w:rsid w:val="00B42617"/>
    <w:rsid w:val="00B43E53"/>
    <w:rsid w:val="00B443E9"/>
    <w:rsid w:val="00B45D94"/>
    <w:rsid w:val="00B474E7"/>
    <w:rsid w:val="00B513EE"/>
    <w:rsid w:val="00B51919"/>
    <w:rsid w:val="00B52BC1"/>
    <w:rsid w:val="00B54168"/>
    <w:rsid w:val="00B5438C"/>
    <w:rsid w:val="00B543EA"/>
    <w:rsid w:val="00B55274"/>
    <w:rsid w:val="00B603D1"/>
    <w:rsid w:val="00B604E0"/>
    <w:rsid w:val="00B614A4"/>
    <w:rsid w:val="00B6412E"/>
    <w:rsid w:val="00B64D82"/>
    <w:rsid w:val="00B7226D"/>
    <w:rsid w:val="00B73FDD"/>
    <w:rsid w:val="00B73FDE"/>
    <w:rsid w:val="00B755E2"/>
    <w:rsid w:val="00B75B12"/>
    <w:rsid w:val="00B77DE5"/>
    <w:rsid w:val="00B81E88"/>
    <w:rsid w:val="00B8493F"/>
    <w:rsid w:val="00B85EB9"/>
    <w:rsid w:val="00B861D5"/>
    <w:rsid w:val="00B867CE"/>
    <w:rsid w:val="00B904F3"/>
    <w:rsid w:val="00B90517"/>
    <w:rsid w:val="00B91C3C"/>
    <w:rsid w:val="00B9391F"/>
    <w:rsid w:val="00B93927"/>
    <w:rsid w:val="00B93B79"/>
    <w:rsid w:val="00B95706"/>
    <w:rsid w:val="00BA07DF"/>
    <w:rsid w:val="00BA133D"/>
    <w:rsid w:val="00BA28BD"/>
    <w:rsid w:val="00BA2AF9"/>
    <w:rsid w:val="00BA2F4E"/>
    <w:rsid w:val="00BA3399"/>
    <w:rsid w:val="00BA58D2"/>
    <w:rsid w:val="00BA68C5"/>
    <w:rsid w:val="00BB1601"/>
    <w:rsid w:val="00BB25E5"/>
    <w:rsid w:val="00BB3B90"/>
    <w:rsid w:val="00BB3E31"/>
    <w:rsid w:val="00BB41EC"/>
    <w:rsid w:val="00BB5196"/>
    <w:rsid w:val="00BB5D84"/>
    <w:rsid w:val="00BB68BD"/>
    <w:rsid w:val="00BB7A6C"/>
    <w:rsid w:val="00BB7D31"/>
    <w:rsid w:val="00BC00A8"/>
    <w:rsid w:val="00BC249D"/>
    <w:rsid w:val="00BC3E9B"/>
    <w:rsid w:val="00BC4138"/>
    <w:rsid w:val="00BC51AA"/>
    <w:rsid w:val="00BC520A"/>
    <w:rsid w:val="00BC679D"/>
    <w:rsid w:val="00BC6CEC"/>
    <w:rsid w:val="00BC7A50"/>
    <w:rsid w:val="00BC7BBB"/>
    <w:rsid w:val="00BC7ECE"/>
    <w:rsid w:val="00BD0415"/>
    <w:rsid w:val="00BD07F2"/>
    <w:rsid w:val="00BD1960"/>
    <w:rsid w:val="00BD2F25"/>
    <w:rsid w:val="00BD4DBB"/>
    <w:rsid w:val="00BD5821"/>
    <w:rsid w:val="00BD73CE"/>
    <w:rsid w:val="00BE01D2"/>
    <w:rsid w:val="00BE04D4"/>
    <w:rsid w:val="00BE1B63"/>
    <w:rsid w:val="00BE1FD7"/>
    <w:rsid w:val="00BE5054"/>
    <w:rsid w:val="00BE7F9D"/>
    <w:rsid w:val="00BF1219"/>
    <w:rsid w:val="00BF21ED"/>
    <w:rsid w:val="00BF332E"/>
    <w:rsid w:val="00C00D93"/>
    <w:rsid w:val="00C00DD6"/>
    <w:rsid w:val="00C0166E"/>
    <w:rsid w:val="00C025F6"/>
    <w:rsid w:val="00C032DC"/>
    <w:rsid w:val="00C033E7"/>
    <w:rsid w:val="00C03989"/>
    <w:rsid w:val="00C0409B"/>
    <w:rsid w:val="00C040B4"/>
    <w:rsid w:val="00C041B6"/>
    <w:rsid w:val="00C047DA"/>
    <w:rsid w:val="00C05BAD"/>
    <w:rsid w:val="00C07340"/>
    <w:rsid w:val="00C10404"/>
    <w:rsid w:val="00C10F2F"/>
    <w:rsid w:val="00C12A4F"/>
    <w:rsid w:val="00C16119"/>
    <w:rsid w:val="00C226EB"/>
    <w:rsid w:val="00C22730"/>
    <w:rsid w:val="00C235D2"/>
    <w:rsid w:val="00C25080"/>
    <w:rsid w:val="00C25DB6"/>
    <w:rsid w:val="00C26EA0"/>
    <w:rsid w:val="00C32006"/>
    <w:rsid w:val="00C3252E"/>
    <w:rsid w:val="00C33820"/>
    <w:rsid w:val="00C349CF"/>
    <w:rsid w:val="00C34F95"/>
    <w:rsid w:val="00C36664"/>
    <w:rsid w:val="00C36769"/>
    <w:rsid w:val="00C37798"/>
    <w:rsid w:val="00C405E6"/>
    <w:rsid w:val="00C42D82"/>
    <w:rsid w:val="00C4334A"/>
    <w:rsid w:val="00C434BD"/>
    <w:rsid w:val="00C4471A"/>
    <w:rsid w:val="00C46CFC"/>
    <w:rsid w:val="00C50117"/>
    <w:rsid w:val="00C5031E"/>
    <w:rsid w:val="00C5079A"/>
    <w:rsid w:val="00C5200F"/>
    <w:rsid w:val="00C527FC"/>
    <w:rsid w:val="00C52EA7"/>
    <w:rsid w:val="00C53E31"/>
    <w:rsid w:val="00C54071"/>
    <w:rsid w:val="00C56D2C"/>
    <w:rsid w:val="00C579BF"/>
    <w:rsid w:val="00C601E0"/>
    <w:rsid w:val="00C605CC"/>
    <w:rsid w:val="00C60D79"/>
    <w:rsid w:val="00C61F38"/>
    <w:rsid w:val="00C6252B"/>
    <w:rsid w:val="00C62939"/>
    <w:rsid w:val="00C62BAB"/>
    <w:rsid w:val="00C643A9"/>
    <w:rsid w:val="00C64DA4"/>
    <w:rsid w:val="00C652EE"/>
    <w:rsid w:val="00C67852"/>
    <w:rsid w:val="00C7026F"/>
    <w:rsid w:val="00C717DA"/>
    <w:rsid w:val="00C727F0"/>
    <w:rsid w:val="00C73880"/>
    <w:rsid w:val="00C80F6E"/>
    <w:rsid w:val="00C837DD"/>
    <w:rsid w:val="00C847F9"/>
    <w:rsid w:val="00C84D03"/>
    <w:rsid w:val="00C851A8"/>
    <w:rsid w:val="00C85C57"/>
    <w:rsid w:val="00C86299"/>
    <w:rsid w:val="00C86325"/>
    <w:rsid w:val="00C95A7A"/>
    <w:rsid w:val="00C96FA7"/>
    <w:rsid w:val="00C971C4"/>
    <w:rsid w:val="00CA021F"/>
    <w:rsid w:val="00CA0B8E"/>
    <w:rsid w:val="00CA168B"/>
    <w:rsid w:val="00CA448A"/>
    <w:rsid w:val="00CA56AB"/>
    <w:rsid w:val="00CB061D"/>
    <w:rsid w:val="00CB0628"/>
    <w:rsid w:val="00CB30DA"/>
    <w:rsid w:val="00CB543A"/>
    <w:rsid w:val="00CB5EAA"/>
    <w:rsid w:val="00CB5F44"/>
    <w:rsid w:val="00CB5FC3"/>
    <w:rsid w:val="00CB6922"/>
    <w:rsid w:val="00CB6CE0"/>
    <w:rsid w:val="00CB7154"/>
    <w:rsid w:val="00CC0605"/>
    <w:rsid w:val="00CC084C"/>
    <w:rsid w:val="00CC088A"/>
    <w:rsid w:val="00CC0EEB"/>
    <w:rsid w:val="00CC1721"/>
    <w:rsid w:val="00CC30C1"/>
    <w:rsid w:val="00CC44B5"/>
    <w:rsid w:val="00CC4821"/>
    <w:rsid w:val="00CC6973"/>
    <w:rsid w:val="00CD02F9"/>
    <w:rsid w:val="00CD103F"/>
    <w:rsid w:val="00CD2037"/>
    <w:rsid w:val="00CD290B"/>
    <w:rsid w:val="00CD3424"/>
    <w:rsid w:val="00CD56FC"/>
    <w:rsid w:val="00CD6D9E"/>
    <w:rsid w:val="00CE0C83"/>
    <w:rsid w:val="00CE38B7"/>
    <w:rsid w:val="00CE5404"/>
    <w:rsid w:val="00CE5B1B"/>
    <w:rsid w:val="00CE64CC"/>
    <w:rsid w:val="00CF019F"/>
    <w:rsid w:val="00CF1C32"/>
    <w:rsid w:val="00CF2DE7"/>
    <w:rsid w:val="00CF377B"/>
    <w:rsid w:val="00D004FD"/>
    <w:rsid w:val="00D00F97"/>
    <w:rsid w:val="00D03F71"/>
    <w:rsid w:val="00D0453A"/>
    <w:rsid w:val="00D04A0E"/>
    <w:rsid w:val="00D05206"/>
    <w:rsid w:val="00D05C7F"/>
    <w:rsid w:val="00D0650B"/>
    <w:rsid w:val="00D067AE"/>
    <w:rsid w:val="00D06CD2"/>
    <w:rsid w:val="00D06D0A"/>
    <w:rsid w:val="00D0748F"/>
    <w:rsid w:val="00D10385"/>
    <w:rsid w:val="00D11716"/>
    <w:rsid w:val="00D11E3B"/>
    <w:rsid w:val="00D126D5"/>
    <w:rsid w:val="00D127D1"/>
    <w:rsid w:val="00D141F3"/>
    <w:rsid w:val="00D1435E"/>
    <w:rsid w:val="00D14784"/>
    <w:rsid w:val="00D14B3D"/>
    <w:rsid w:val="00D16C4E"/>
    <w:rsid w:val="00D17A17"/>
    <w:rsid w:val="00D17D88"/>
    <w:rsid w:val="00D20401"/>
    <w:rsid w:val="00D204F4"/>
    <w:rsid w:val="00D207FF"/>
    <w:rsid w:val="00D20896"/>
    <w:rsid w:val="00D21673"/>
    <w:rsid w:val="00D23A9B"/>
    <w:rsid w:val="00D242EA"/>
    <w:rsid w:val="00D2454E"/>
    <w:rsid w:val="00D26D47"/>
    <w:rsid w:val="00D27D9B"/>
    <w:rsid w:val="00D3094F"/>
    <w:rsid w:val="00D32965"/>
    <w:rsid w:val="00D32EBC"/>
    <w:rsid w:val="00D34C31"/>
    <w:rsid w:val="00D34E30"/>
    <w:rsid w:val="00D40206"/>
    <w:rsid w:val="00D4045C"/>
    <w:rsid w:val="00D406C6"/>
    <w:rsid w:val="00D4334E"/>
    <w:rsid w:val="00D45142"/>
    <w:rsid w:val="00D4516B"/>
    <w:rsid w:val="00D45872"/>
    <w:rsid w:val="00D47671"/>
    <w:rsid w:val="00D50EE8"/>
    <w:rsid w:val="00D60823"/>
    <w:rsid w:val="00D617D3"/>
    <w:rsid w:val="00D65030"/>
    <w:rsid w:val="00D65198"/>
    <w:rsid w:val="00D6687D"/>
    <w:rsid w:val="00D678A7"/>
    <w:rsid w:val="00D711CF"/>
    <w:rsid w:val="00D72196"/>
    <w:rsid w:val="00D723D7"/>
    <w:rsid w:val="00D726FE"/>
    <w:rsid w:val="00D73F19"/>
    <w:rsid w:val="00D77E6D"/>
    <w:rsid w:val="00D806BE"/>
    <w:rsid w:val="00D80C38"/>
    <w:rsid w:val="00D82664"/>
    <w:rsid w:val="00D85BC9"/>
    <w:rsid w:val="00D86857"/>
    <w:rsid w:val="00D902B3"/>
    <w:rsid w:val="00D924A5"/>
    <w:rsid w:val="00D940C6"/>
    <w:rsid w:val="00D94D3B"/>
    <w:rsid w:val="00D94F77"/>
    <w:rsid w:val="00D961CD"/>
    <w:rsid w:val="00D96482"/>
    <w:rsid w:val="00DA1F2A"/>
    <w:rsid w:val="00DA3378"/>
    <w:rsid w:val="00DA3B68"/>
    <w:rsid w:val="00DA5076"/>
    <w:rsid w:val="00DA7797"/>
    <w:rsid w:val="00DA7D5A"/>
    <w:rsid w:val="00DB03A4"/>
    <w:rsid w:val="00DB0EC3"/>
    <w:rsid w:val="00DB2052"/>
    <w:rsid w:val="00DB44DC"/>
    <w:rsid w:val="00DB4877"/>
    <w:rsid w:val="00DB59A4"/>
    <w:rsid w:val="00DB5DFE"/>
    <w:rsid w:val="00DC0433"/>
    <w:rsid w:val="00DC11A3"/>
    <w:rsid w:val="00DC148D"/>
    <w:rsid w:val="00DC265E"/>
    <w:rsid w:val="00DC29DF"/>
    <w:rsid w:val="00DC4076"/>
    <w:rsid w:val="00DC47FD"/>
    <w:rsid w:val="00DC5962"/>
    <w:rsid w:val="00DC5DAF"/>
    <w:rsid w:val="00DC68A5"/>
    <w:rsid w:val="00DD1B6D"/>
    <w:rsid w:val="00DD1F23"/>
    <w:rsid w:val="00DD3060"/>
    <w:rsid w:val="00DD4E8B"/>
    <w:rsid w:val="00DD60FC"/>
    <w:rsid w:val="00DD7A79"/>
    <w:rsid w:val="00DE0F93"/>
    <w:rsid w:val="00DE2D05"/>
    <w:rsid w:val="00DE343A"/>
    <w:rsid w:val="00DE41D9"/>
    <w:rsid w:val="00DE57C0"/>
    <w:rsid w:val="00DE6F3B"/>
    <w:rsid w:val="00DE7B59"/>
    <w:rsid w:val="00DF1779"/>
    <w:rsid w:val="00DF1A11"/>
    <w:rsid w:val="00DF3DC3"/>
    <w:rsid w:val="00DF5297"/>
    <w:rsid w:val="00DF6DB3"/>
    <w:rsid w:val="00E00492"/>
    <w:rsid w:val="00E054B2"/>
    <w:rsid w:val="00E06B12"/>
    <w:rsid w:val="00E07F96"/>
    <w:rsid w:val="00E109F6"/>
    <w:rsid w:val="00E10F2B"/>
    <w:rsid w:val="00E11B7A"/>
    <w:rsid w:val="00E12F66"/>
    <w:rsid w:val="00E17E02"/>
    <w:rsid w:val="00E207FB"/>
    <w:rsid w:val="00E2175F"/>
    <w:rsid w:val="00E22DB9"/>
    <w:rsid w:val="00E23664"/>
    <w:rsid w:val="00E23947"/>
    <w:rsid w:val="00E246F0"/>
    <w:rsid w:val="00E24DF2"/>
    <w:rsid w:val="00E2607E"/>
    <w:rsid w:val="00E27FD8"/>
    <w:rsid w:val="00E30129"/>
    <w:rsid w:val="00E3057A"/>
    <w:rsid w:val="00E31A60"/>
    <w:rsid w:val="00E32B8A"/>
    <w:rsid w:val="00E342A7"/>
    <w:rsid w:val="00E34AC6"/>
    <w:rsid w:val="00E34CB4"/>
    <w:rsid w:val="00E45DDB"/>
    <w:rsid w:val="00E505EC"/>
    <w:rsid w:val="00E51D55"/>
    <w:rsid w:val="00E51F85"/>
    <w:rsid w:val="00E5456B"/>
    <w:rsid w:val="00E55039"/>
    <w:rsid w:val="00E567F5"/>
    <w:rsid w:val="00E56AD0"/>
    <w:rsid w:val="00E64701"/>
    <w:rsid w:val="00E66830"/>
    <w:rsid w:val="00E67030"/>
    <w:rsid w:val="00E67AC0"/>
    <w:rsid w:val="00E70B55"/>
    <w:rsid w:val="00E7163E"/>
    <w:rsid w:val="00E736FC"/>
    <w:rsid w:val="00E834B8"/>
    <w:rsid w:val="00E83C8C"/>
    <w:rsid w:val="00E85743"/>
    <w:rsid w:val="00E8580B"/>
    <w:rsid w:val="00E85B5D"/>
    <w:rsid w:val="00E85EE1"/>
    <w:rsid w:val="00E86313"/>
    <w:rsid w:val="00E86B0A"/>
    <w:rsid w:val="00E876C9"/>
    <w:rsid w:val="00E87CCB"/>
    <w:rsid w:val="00E91F33"/>
    <w:rsid w:val="00E94A22"/>
    <w:rsid w:val="00E96138"/>
    <w:rsid w:val="00E966FB"/>
    <w:rsid w:val="00EA0515"/>
    <w:rsid w:val="00EA09A8"/>
    <w:rsid w:val="00EA2D56"/>
    <w:rsid w:val="00EA2F33"/>
    <w:rsid w:val="00EA3953"/>
    <w:rsid w:val="00EA4488"/>
    <w:rsid w:val="00EA65A4"/>
    <w:rsid w:val="00EB21AC"/>
    <w:rsid w:val="00EB33A8"/>
    <w:rsid w:val="00EB3559"/>
    <w:rsid w:val="00EB5B01"/>
    <w:rsid w:val="00EB6E7F"/>
    <w:rsid w:val="00EB77E5"/>
    <w:rsid w:val="00EC0A85"/>
    <w:rsid w:val="00EC1857"/>
    <w:rsid w:val="00EC1C54"/>
    <w:rsid w:val="00EC5BB4"/>
    <w:rsid w:val="00EC61A6"/>
    <w:rsid w:val="00EC731C"/>
    <w:rsid w:val="00ED0666"/>
    <w:rsid w:val="00ED0710"/>
    <w:rsid w:val="00ED183F"/>
    <w:rsid w:val="00ED211A"/>
    <w:rsid w:val="00ED4E6F"/>
    <w:rsid w:val="00ED5961"/>
    <w:rsid w:val="00ED5E1F"/>
    <w:rsid w:val="00ED71B1"/>
    <w:rsid w:val="00EE012E"/>
    <w:rsid w:val="00EE2D60"/>
    <w:rsid w:val="00EE358E"/>
    <w:rsid w:val="00EE3808"/>
    <w:rsid w:val="00EE51E4"/>
    <w:rsid w:val="00EE5C97"/>
    <w:rsid w:val="00EE6AFA"/>
    <w:rsid w:val="00EF08AA"/>
    <w:rsid w:val="00EF18B6"/>
    <w:rsid w:val="00EF23B1"/>
    <w:rsid w:val="00EF3070"/>
    <w:rsid w:val="00EF3E85"/>
    <w:rsid w:val="00EF78B2"/>
    <w:rsid w:val="00F0007F"/>
    <w:rsid w:val="00F01500"/>
    <w:rsid w:val="00F01BBC"/>
    <w:rsid w:val="00F02537"/>
    <w:rsid w:val="00F030BE"/>
    <w:rsid w:val="00F06963"/>
    <w:rsid w:val="00F069B8"/>
    <w:rsid w:val="00F06D67"/>
    <w:rsid w:val="00F1004F"/>
    <w:rsid w:val="00F11C4C"/>
    <w:rsid w:val="00F1365B"/>
    <w:rsid w:val="00F154C8"/>
    <w:rsid w:val="00F15AD4"/>
    <w:rsid w:val="00F16FA6"/>
    <w:rsid w:val="00F17BC9"/>
    <w:rsid w:val="00F21370"/>
    <w:rsid w:val="00F214D1"/>
    <w:rsid w:val="00F21B25"/>
    <w:rsid w:val="00F269CC"/>
    <w:rsid w:val="00F34B60"/>
    <w:rsid w:val="00F358B8"/>
    <w:rsid w:val="00F35CB8"/>
    <w:rsid w:val="00F36068"/>
    <w:rsid w:val="00F37B20"/>
    <w:rsid w:val="00F37C7D"/>
    <w:rsid w:val="00F40638"/>
    <w:rsid w:val="00F40EA7"/>
    <w:rsid w:val="00F43A4C"/>
    <w:rsid w:val="00F43BBB"/>
    <w:rsid w:val="00F446F2"/>
    <w:rsid w:val="00F4499E"/>
    <w:rsid w:val="00F451DE"/>
    <w:rsid w:val="00F505CB"/>
    <w:rsid w:val="00F50EB2"/>
    <w:rsid w:val="00F51BCE"/>
    <w:rsid w:val="00F522DF"/>
    <w:rsid w:val="00F52524"/>
    <w:rsid w:val="00F541B7"/>
    <w:rsid w:val="00F548F3"/>
    <w:rsid w:val="00F549FB"/>
    <w:rsid w:val="00F56668"/>
    <w:rsid w:val="00F615DC"/>
    <w:rsid w:val="00F61841"/>
    <w:rsid w:val="00F62121"/>
    <w:rsid w:val="00F62939"/>
    <w:rsid w:val="00F64A7A"/>
    <w:rsid w:val="00F64BAF"/>
    <w:rsid w:val="00F65EBF"/>
    <w:rsid w:val="00F66F9D"/>
    <w:rsid w:val="00F67856"/>
    <w:rsid w:val="00F70A18"/>
    <w:rsid w:val="00F70BAF"/>
    <w:rsid w:val="00F71659"/>
    <w:rsid w:val="00F7551F"/>
    <w:rsid w:val="00F75BF2"/>
    <w:rsid w:val="00F7673D"/>
    <w:rsid w:val="00F80350"/>
    <w:rsid w:val="00F807F7"/>
    <w:rsid w:val="00F8111E"/>
    <w:rsid w:val="00F83917"/>
    <w:rsid w:val="00F8420C"/>
    <w:rsid w:val="00F84775"/>
    <w:rsid w:val="00F85982"/>
    <w:rsid w:val="00F86A2C"/>
    <w:rsid w:val="00F86C94"/>
    <w:rsid w:val="00F86D57"/>
    <w:rsid w:val="00F9028A"/>
    <w:rsid w:val="00F90F06"/>
    <w:rsid w:val="00F91CBD"/>
    <w:rsid w:val="00F91FA4"/>
    <w:rsid w:val="00F9359B"/>
    <w:rsid w:val="00F94B36"/>
    <w:rsid w:val="00F956A9"/>
    <w:rsid w:val="00F96CD8"/>
    <w:rsid w:val="00F97E52"/>
    <w:rsid w:val="00F97F08"/>
    <w:rsid w:val="00FA0039"/>
    <w:rsid w:val="00FA2912"/>
    <w:rsid w:val="00FA6A8E"/>
    <w:rsid w:val="00FA7C44"/>
    <w:rsid w:val="00FB2F2F"/>
    <w:rsid w:val="00FB32DB"/>
    <w:rsid w:val="00FB4B50"/>
    <w:rsid w:val="00FB55E7"/>
    <w:rsid w:val="00FC066C"/>
    <w:rsid w:val="00FC1339"/>
    <w:rsid w:val="00FC1DDA"/>
    <w:rsid w:val="00FC25FA"/>
    <w:rsid w:val="00FC2812"/>
    <w:rsid w:val="00FC4AC7"/>
    <w:rsid w:val="00FC5095"/>
    <w:rsid w:val="00FC5D69"/>
    <w:rsid w:val="00FC6DD3"/>
    <w:rsid w:val="00FD01B5"/>
    <w:rsid w:val="00FD02CB"/>
    <w:rsid w:val="00FD037D"/>
    <w:rsid w:val="00FD0E19"/>
    <w:rsid w:val="00FD2450"/>
    <w:rsid w:val="00FD4BB8"/>
    <w:rsid w:val="00FD59B2"/>
    <w:rsid w:val="00FD6B02"/>
    <w:rsid w:val="00FD7C0B"/>
    <w:rsid w:val="00FE0EFA"/>
    <w:rsid w:val="00FE1A79"/>
    <w:rsid w:val="00FE3B2B"/>
    <w:rsid w:val="00FE59C1"/>
    <w:rsid w:val="00FE661B"/>
    <w:rsid w:val="00FE76C0"/>
    <w:rsid w:val="00FF0B73"/>
    <w:rsid w:val="00FF1E35"/>
    <w:rsid w:val="00FF28CD"/>
    <w:rsid w:val="00FF4A94"/>
    <w:rsid w:val="00FF532E"/>
    <w:rsid w:val="00FF6558"/>
    <w:rsid w:val="00FF75EB"/>
    <w:rsid w:val="00FF7B5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List Bullet" w:uiPriority="2" w:qFormat="1"/>
    <w:lsdException w:name="List Bullet 2" w:uiPriority="2" w:qFormat="1"/>
    <w:lsdException w:name="List Bullet 3" w:uiPriority="2"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6A9"/>
    <w:rPr>
      <w:rFonts w:ascii="Arial" w:hAnsi="Arial"/>
    </w:rPr>
  </w:style>
  <w:style w:type="paragraph" w:styleId="Heading1">
    <w:name w:val="heading 1"/>
    <w:basedOn w:val="Normal"/>
    <w:next w:val="Normal"/>
    <w:link w:val="Heading1Char"/>
    <w:uiPriority w:val="99"/>
    <w:qFormat/>
    <w:rsid w:val="00F956A9"/>
    <w:pPr>
      <w:keepNext/>
      <w:keepLines/>
      <w:numPr>
        <w:numId w:val="1"/>
      </w:numPr>
      <w:spacing w:before="480" w:after="240"/>
      <w:outlineLvl w:val="0"/>
    </w:pPr>
    <w:rPr>
      <w:rFonts w:eastAsiaTheme="majorEastAsia" w:cs="Arial"/>
      <w:b/>
      <w:bCs/>
      <w:caps/>
      <w:color w:val="4F81BD" w:themeColor="accent1"/>
      <w:sz w:val="28"/>
      <w:szCs w:val="28"/>
    </w:rPr>
  </w:style>
  <w:style w:type="paragraph" w:styleId="Heading2">
    <w:name w:val="heading 2"/>
    <w:basedOn w:val="Normal"/>
    <w:next w:val="Normal"/>
    <w:link w:val="Heading2Char"/>
    <w:uiPriority w:val="99"/>
    <w:unhideWhenUsed/>
    <w:qFormat/>
    <w:rsid w:val="004D7587"/>
    <w:pPr>
      <w:keepNext/>
      <w:keepLines/>
      <w:numPr>
        <w:ilvl w:val="1"/>
        <w:numId w:val="1"/>
      </w:numPr>
      <w:spacing w:before="200" w:after="240"/>
      <w:outlineLvl w:val="1"/>
    </w:pPr>
    <w:rPr>
      <w:rFonts w:eastAsiaTheme="majorEastAsia" w:cs="Arial"/>
      <w:b/>
      <w:bCs/>
      <w:color w:val="8DB3E2" w:themeColor="text2" w:themeTint="66"/>
      <w:sz w:val="26"/>
      <w:szCs w:val="26"/>
    </w:rPr>
  </w:style>
  <w:style w:type="paragraph" w:styleId="Heading3">
    <w:name w:val="heading 3"/>
    <w:basedOn w:val="Normal"/>
    <w:next w:val="Normal"/>
    <w:link w:val="Heading3Char"/>
    <w:uiPriority w:val="99"/>
    <w:unhideWhenUsed/>
    <w:qFormat/>
    <w:rsid w:val="00F9028A"/>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9"/>
    <w:unhideWhenUsed/>
    <w:qFormat/>
    <w:rsid w:val="004264C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unhideWhenUsed/>
    <w:qFormat/>
    <w:rsid w:val="004264C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unhideWhenUsed/>
    <w:qFormat/>
    <w:rsid w:val="004264C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4264C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4264C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4264C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956A9"/>
    <w:rPr>
      <w:rFonts w:ascii="Arial" w:eastAsiaTheme="majorEastAsia" w:hAnsi="Arial" w:cs="Arial"/>
      <w:b/>
      <w:bCs/>
      <w:caps/>
      <w:color w:val="4F81BD" w:themeColor="accent1"/>
      <w:sz w:val="28"/>
      <w:szCs w:val="28"/>
    </w:rPr>
  </w:style>
  <w:style w:type="character" w:customStyle="1" w:styleId="Heading2Char">
    <w:name w:val="Heading 2 Char"/>
    <w:basedOn w:val="DefaultParagraphFont"/>
    <w:link w:val="Heading2"/>
    <w:uiPriority w:val="99"/>
    <w:rsid w:val="004D7587"/>
    <w:rPr>
      <w:rFonts w:ascii="Arial" w:eastAsiaTheme="majorEastAsia" w:hAnsi="Arial" w:cs="Arial"/>
      <w:b/>
      <w:bCs/>
      <w:color w:val="8DB3E2" w:themeColor="text2" w:themeTint="66"/>
      <w:sz w:val="26"/>
      <w:szCs w:val="26"/>
    </w:rPr>
  </w:style>
  <w:style w:type="character" w:customStyle="1" w:styleId="Heading3Char">
    <w:name w:val="Heading 3 Char"/>
    <w:basedOn w:val="DefaultParagraphFont"/>
    <w:link w:val="Heading3"/>
    <w:uiPriority w:val="99"/>
    <w:rsid w:val="00F9028A"/>
    <w:rPr>
      <w:rFonts w:ascii="Arial" w:eastAsiaTheme="majorEastAsia" w:hAnsi="Arial" w:cstheme="majorBidi"/>
      <w:b/>
      <w:bCs/>
    </w:rPr>
  </w:style>
  <w:style w:type="character" w:customStyle="1" w:styleId="Heading4Char">
    <w:name w:val="Heading 4 Char"/>
    <w:basedOn w:val="DefaultParagraphFont"/>
    <w:link w:val="Heading4"/>
    <w:uiPriority w:val="99"/>
    <w:rsid w:val="004264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9"/>
    <w:rsid w:val="004264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9"/>
    <w:rsid w:val="004264C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rsid w:val="004264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4264C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4264CA"/>
    <w:rPr>
      <w:rFonts w:asciiTheme="majorHAnsi" w:eastAsiaTheme="majorEastAsia" w:hAnsiTheme="majorHAnsi" w:cstheme="majorBidi"/>
      <w:i/>
      <w:iCs/>
      <w:color w:val="404040" w:themeColor="text1" w:themeTint="BF"/>
      <w:sz w:val="20"/>
      <w:szCs w:val="20"/>
    </w:rPr>
  </w:style>
  <w:style w:type="paragraph" w:customStyle="1" w:styleId="text">
    <w:name w:val="text"/>
    <w:basedOn w:val="Header"/>
    <w:rsid w:val="00D067AE"/>
    <w:pPr>
      <w:widowControl w:val="0"/>
      <w:tabs>
        <w:tab w:val="clear" w:pos="4513"/>
        <w:tab w:val="clear" w:pos="9026"/>
        <w:tab w:val="center" w:pos="4320"/>
        <w:tab w:val="right" w:pos="8640"/>
      </w:tabs>
      <w:suppressAutoHyphens/>
      <w:autoSpaceDE w:val="0"/>
      <w:autoSpaceDN w:val="0"/>
      <w:adjustRightInd w:val="0"/>
      <w:spacing w:before="57" w:line="310" w:lineRule="atLeast"/>
      <w:textAlignment w:val="baseline"/>
    </w:pPr>
    <w:rPr>
      <w:rFonts w:ascii="GillSans-Light" w:eastAsia="Times New Roman" w:hAnsi="GillSans-Light" w:cs="Times New Roman"/>
      <w:color w:val="000000"/>
      <w:sz w:val="23"/>
      <w:szCs w:val="23"/>
    </w:rPr>
  </w:style>
  <w:style w:type="paragraph" w:styleId="Header">
    <w:name w:val="header"/>
    <w:basedOn w:val="Normal"/>
    <w:link w:val="HeaderChar"/>
    <w:uiPriority w:val="99"/>
    <w:unhideWhenUsed/>
    <w:rsid w:val="00D067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7AE"/>
  </w:style>
  <w:style w:type="paragraph" w:customStyle="1" w:styleId="Noparagraphstyle">
    <w:name w:val="[No paragraph style]"/>
    <w:rsid w:val="00D067AE"/>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lang w:val="en-GB"/>
    </w:rPr>
  </w:style>
  <w:style w:type="character" w:styleId="Hyperlink">
    <w:name w:val="Hyperlink"/>
    <w:basedOn w:val="DefaultParagraphFont"/>
    <w:uiPriority w:val="99"/>
    <w:rsid w:val="00D067AE"/>
    <w:rPr>
      <w:color w:val="0000FF"/>
      <w:u w:val="single"/>
    </w:rPr>
  </w:style>
  <w:style w:type="paragraph" w:styleId="BodyText">
    <w:name w:val="Body Text"/>
    <w:basedOn w:val="Normal"/>
    <w:link w:val="BodyTextChar"/>
    <w:semiHidden/>
    <w:rsid w:val="00D067AE"/>
    <w:pPr>
      <w:spacing w:after="0" w:line="240" w:lineRule="auto"/>
    </w:pPr>
    <w:rPr>
      <w:rFonts w:ascii="GillSans" w:eastAsia="Times New Roman" w:hAnsi="GillSans" w:cs="Arial"/>
      <w:b/>
      <w:bCs/>
      <w:snapToGrid w:val="0"/>
      <w:color w:val="FFFFFF"/>
      <w:sz w:val="20"/>
      <w:szCs w:val="24"/>
    </w:rPr>
  </w:style>
  <w:style w:type="character" w:customStyle="1" w:styleId="BodyTextChar">
    <w:name w:val="Body Text Char"/>
    <w:basedOn w:val="DefaultParagraphFont"/>
    <w:link w:val="BodyText"/>
    <w:semiHidden/>
    <w:rsid w:val="00D067AE"/>
    <w:rPr>
      <w:rFonts w:ascii="GillSans" w:eastAsia="Times New Roman" w:hAnsi="GillSans" w:cs="Arial"/>
      <w:b/>
      <w:bCs/>
      <w:snapToGrid w:val="0"/>
      <w:color w:val="FFFFFF"/>
      <w:sz w:val="20"/>
      <w:szCs w:val="24"/>
    </w:rPr>
  </w:style>
  <w:style w:type="paragraph" w:styleId="ListParagraph">
    <w:name w:val="List Paragraph"/>
    <w:basedOn w:val="Normal"/>
    <w:uiPriority w:val="34"/>
    <w:qFormat/>
    <w:rsid w:val="00DB44DC"/>
    <w:pPr>
      <w:ind w:left="720"/>
      <w:contextualSpacing/>
    </w:pPr>
  </w:style>
  <w:style w:type="paragraph" w:styleId="FootnoteText">
    <w:name w:val="footnote text"/>
    <w:basedOn w:val="Normal"/>
    <w:link w:val="FootnoteTextChar"/>
    <w:semiHidden/>
    <w:unhideWhenUsed/>
    <w:rsid w:val="00DB44DC"/>
    <w:pPr>
      <w:spacing w:after="0" w:line="240" w:lineRule="auto"/>
    </w:pPr>
    <w:rPr>
      <w:sz w:val="20"/>
      <w:szCs w:val="20"/>
    </w:rPr>
  </w:style>
  <w:style w:type="character" w:customStyle="1" w:styleId="FootnoteTextChar">
    <w:name w:val="Footnote Text Char"/>
    <w:basedOn w:val="DefaultParagraphFont"/>
    <w:link w:val="FootnoteText"/>
    <w:semiHidden/>
    <w:rsid w:val="00DB44DC"/>
    <w:rPr>
      <w:sz w:val="20"/>
      <w:szCs w:val="20"/>
    </w:rPr>
  </w:style>
  <w:style w:type="character" w:styleId="FootnoteReference">
    <w:name w:val="footnote reference"/>
    <w:basedOn w:val="DefaultParagraphFont"/>
    <w:semiHidden/>
    <w:unhideWhenUsed/>
    <w:rsid w:val="00DB44DC"/>
    <w:rPr>
      <w:vertAlign w:val="superscript"/>
    </w:rPr>
  </w:style>
  <w:style w:type="paragraph" w:styleId="Caption">
    <w:name w:val="caption"/>
    <w:basedOn w:val="Normal"/>
    <w:next w:val="Normal"/>
    <w:uiPriority w:val="99"/>
    <w:unhideWhenUsed/>
    <w:qFormat/>
    <w:rsid w:val="00DB44DC"/>
    <w:pPr>
      <w:spacing w:line="240" w:lineRule="auto"/>
    </w:pPr>
    <w:rPr>
      <w:b/>
      <w:bCs/>
      <w:color w:val="4F81BD" w:themeColor="accent1"/>
      <w:sz w:val="18"/>
      <w:szCs w:val="18"/>
    </w:rPr>
  </w:style>
  <w:style w:type="table" w:customStyle="1" w:styleId="LightShading-Accent11">
    <w:name w:val="Light Shading - Accent 11"/>
    <w:basedOn w:val="TableNormal"/>
    <w:uiPriority w:val="60"/>
    <w:rsid w:val="00DB44D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0">
    <w:name w:val="Light Shading - Accent 11"/>
    <w:basedOn w:val="TableNormal"/>
    <w:uiPriority w:val="60"/>
    <w:rsid w:val="00DB44D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DB4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4DC"/>
    <w:rPr>
      <w:rFonts w:ascii="Tahoma" w:hAnsi="Tahoma" w:cs="Tahoma"/>
      <w:sz w:val="16"/>
      <w:szCs w:val="16"/>
    </w:rPr>
  </w:style>
  <w:style w:type="character" w:styleId="CommentReference">
    <w:name w:val="annotation reference"/>
    <w:basedOn w:val="DefaultParagraphFont"/>
    <w:uiPriority w:val="99"/>
    <w:semiHidden/>
    <w:unhideWhenUsed/>
    <w:rsid w:val="00790B73"/>
    <w:rPr>
      <w:sz w:val="16"/>
      <w:szCs w:val="16"/>
    </w:rPr>
  </w:style>
  <w:style w:type="paragraph" w:styleId="CommentText">
    <w:name w:val="annotation text"/>
    <w:basedOn w:val="Normal"/>
    <w:link w:val="CommentTextChar"/>
    <w:uiPriority w:val="99"/>
    <w:semiHidden/>
    <w:unhideWhenUsed/>
    <w:rsid w:val="00790B73"/>
    <w:pPr>
      <w:spacing w:line="240" w:lineRule="auto"/>
    </w:pPr>
    <w:rPr>
      <w:sz w:val="20"/>
      <w:szCs w:val="20"/>
    </w:rPr>
  </w:style>
  <w:style w:type="character" w:customStyle="1" w:styleId="CommentTextChar">
    <w:name w:val="Comment Text Char"/>
    <w:basedOn w:val="DefaultParagraphFont"/>
    <w:link w:val="CommentText"/>
    <w:uiPriority w:val="99"/>
    <w:semiHidden/>
    <w:rsid w:val="00790B73"/>
    <w:rPr>
      <w:sz w:val="20"/>
      <w:szCs w:val="20"/>
    </w:rPr>
  </w:style>
  <w:style w:type="paragraph" w:styleId="CommentSubject">
    <w:name w:val="annotation subject"/>
    <w:basedOn w:val="CommentText"/>
    <w:next w:val="CommentText"/>
    <w:link w:val="CommentSubjectChar"/>
    <w:uiPriority w:val="99"/>
    <w:semiHidden/>
    <w:unhideWhenUsed/>
    <w:rsid w:val="00790B73"/>
    <w:rPr>
      <w:b/>
      <w:bCs/>
    </w:rPr>
  </w:style>
  <w:style w:type="character" w:customStyle="1" w:styleId="CommentSubjectChar">
    <w:name w:val="Comment Subject Char"/>
    <w:basedOn w:val="CommentTextChar"/>
    <w:link w:val="CommentSubject"/>
    <w:uiPriority w:val="99"/>
    <w:semiHidden/>
    <w:rsid w:val="00790B73"/>
    <w:rPr>
      <w:b/>
      <w:bCs/>
    </w:rPr>
  </w:style>
  <w:style w:type="paragraph" w:styleId="Footer">
    <w:name w:val="footer"/>
    <w:basedOn w:val="Normal"/>
    <w:link w:val="FooterChar"/>
    <w:uiPriority w:val="99"/>
    <w:unhideWhenUsed/>
    <w:rsid w:val="009C0E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E07"/>
  </w:style>
  <w:style w:type="paragraph" w:customStyle="1" w:styleId="aStyle2">
    <w:name w:val="aStyle2"/>
    <w:basedOn w:val="BodyText"/>
    <w:link w:val="aStyle2Char"/>
    <w:qFormat/>
    <w:rsid w:val="00F956A9"/>
    <w:pPr>
      <w:spacing w:before="40" w:after="120" w:line="280" w:lineRule="atLeast"/>
      <w:ind w:left="1134"/>
      <w:jc w:val="both"/>
    </w:pPr>
    <w:rPr>
      <w:rFonts w:ascii="Arial" w:hAnsi="Arial" w:cs="Times New Roman"/>
      <w:b w:val="0"/>
      <w:bCs w:val="0"/>
      <w:snapToGrid/>
      <w:color w:val="auto"/>
      <w:szCs w:val="20"/>
    </w:rPr>
  </w:style>
  <w:style w:type="character" w:customStyle="1" w:styleId="aStyle2Char">
    <w:name w:val="aStyle2 Char"/>
    <w:basedOn w:val="BodyTextChar"/>
    <w:link w:val="aStyle2"/>
    <w:rsid w:val="00F956A9"/>
    <w:rPr>
      <w:rFonts w:ascii="Arial" w:hAnsi="Arial" w:cs="Times New Roman"/>
      <w:szCs w:val="20"/>
    </w:rPr>
  </w:style>
  <w:style w:type="character" w:styleId="Strong">
    <w:name w:val="Strong"/>
    <w:basedOn w:val="DefaultParagraphFont"/>
    <w:uiPriority w:val="22"/>
    <w:qFormat/>
    <w:rsid w:val="00F956A9"/>
    <w:rPr>
      <w:b/>
      <w:bCs/>
    </w:rPr>
  </w:style>
  <w:style w:type="paragraph" w:styleId="NormalWeb">
    <w:name w:val="Normal (Web)"/>
    <w:basedOn w:val="Normal"/>
    <w:uiPriority w:val="99"/>
    <w:unhideWhenUsed/>
    <w:rsid w:val="00F956A9"/>
    <w:pPr>
      <w:spacing w:before="100" w:beforeAutospacing="1" w:after="100" w:afterAutospacing="1" w:line="240" w:lineRule="auto"/>
    </w:pPr>
    <w:rPr>
      <w:rFonts w:eastAsia="Times New Roman" w:cs="Arial"/>
      <w:sz w:val="24"/>
      <w:szCs w:val="24"/>
      <w:lang w:eastAsia="en-AU"/>
    </w:rPr>
  </w:style>
  <w:style w:type="paragraph" w:customStyle="1" w:styleId="Default">
    <w:name w:val="Default"/>
    <w:rsid w:val="0063103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listparagraph0">
    <w:name w:val="msolistparagraph"/>
    <w:basedOn w:val="Normal"/>
    <w:rsid w:val="00117986"/>
    <w:pPr>
      <w:spacing w:after="0" w:line="240" w:lineRule="auto"/>
      <w:ind w:left="720"/>
    </w:pPr>
    <w:rPr>
      <w:rFonts w:ascii="Calibri" w:eastAsia="Arial Unicode MS" w:hAnsi="Calibri" w:cs="Arial Unicode MS"/>
    </w:rPr>
  </w:style>
  <w:style w:type="table" w:styleId="TableGrid">
    <w:name w:val="Table Grid"/>
    <w:basedOn w:val="TableNormal"/>
    <w:uiPriority w:val="59"/>
    <w:rsid w:val="00C366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ing-desc">
    <w:name w:val="listing-desc"/>
    <w:basedOn w:val="DefaultParagraphFont"/>
    <w:rsid w:val="00336EFD"/>
  </w:style>
  <w:style w:type="character" w:customStyle="1" w:styleId="KeyMessageTextChar">
    <w:name w:val="KeyMessageText Char"/>
    <w:basedOn w:val="DefaultParagraphFont"/>
    <w:link w:val="KeyMessageText"/>
    <w:locked/>
    <w:rsid w:val="005443BE"/>
    <w:rPr>
      <w:rFonts w:ascii="Gill Sans MT" w:hAnsi="Gill Sans MT" w:cs="Times New Roman"/>
      <w:sz w:val="32"/>
      <w:szCs w:val="32"/>
    </w:rPr>
  </w:style>
  <w:style w:type="paragraph" w:customStyle="1" w:styleId="KeyMessageText">
    <w:name w:val="KeyMessageText"/>
    <w:basedOn w:val="Normal"/>
    <w:link w:val="KeyMessageTextChar"/>
    <w:qFormat/>
    <w:rsid w:val="005443BE"/>
    <w:pPr>
      <w:numPr>
        <w:numId w:val="2"/>
      </w:numPr>
      <w:spacing w:after="240" w:line="240" w:lineRule="auto"/>
      <w:ind w:left="357" w:hanging="357"/>
    </w:pPr>
    <w:rPr>
      <w:rFonts w:ascii="Gill Sans MT" w:hAnsi="Gill Sans MT" w:cs="Times New Roman"/>
      <w:sz w:val="32"/>
      <w:szCs w:val="32"/>
    </w:rPr>
  </w:style>
  <w:style w:type="paragraph" w:customStyle="1" w:styleId="sub-head">
    <w:name w:val="sub-head"/>
    <w:basedOn w:val="Normal"/>
    <w:rsid w:val="00C34F95"/>
    <w:pPr>
      <w:overflowPunct w:val="0"/>
      <w:autoSpaceDE w:val="0"/>
      <w:autoSpaceDN w:val="0"/>
      <w:adjustRightInd w:val="0"/>
      <w:spacing w:before="120" w:after="120" w:line="240" w:lineRule="auto"/>
      <w:textAlignment w:val="baseline"/>
    </w:pPr>
    <w:rPr>
      <w:rFonts w:ascii="Times New Roman" w:eastAsia="Times New Roman" w:hAnsi="Times New Roman" w:cs="Times New Roman"/>
      <w:b/>
      <w:sz w:val="26"/>
      <w:szCs w:val="20"/>
      <w:lang w:val="en-US"/>
    </w:rPr>
  </w:style>
  <w:style w:type="paragraph" w:styleId="BodyTextIndent">
    <w:name w:val="Body Text Indent"/>
    <w:basedOn w:val="Normal"/>
    <w:link w:val="BodyTextIndentChar"/>
    <w:uiPriority w:val="99"/>
    <w:semiHidden/>
    <w:unhideWhenUsed/>
    <w:rsid w:val="000E4DB3"/>
    <w:pPr>
      <w:spacing w:after="120"/>
      <w:ind w:left="283"/>
    </w:pPr>
  </w:style>
  <w:style w:type="character" w:customStyle="1" w:styleId="BodyTextIndentChar">
    <w:name w:val="Body Text Indent Char"/>
    <w:basedOn w:val="DefaultParagraphFont"/>
    <w:link w:val="BodyTextIndent"/>
    <w:uiPriority w:val="99"/>
    <w:semiHidden/>
    <w:rsid w:val="000E4DB3"/>
    <w:rPr>
      <w:rFonts w:ascii="Arial" w:hAnsi="Arial"/>
    </w:rPr>
  </w:style>
  <w:style w:type="paragraph" w:styleId="BodyText2">
    <w:name w:val="Body Text 2"/>
    <w:basedOn w:val="Normal"/>
    <w:link w:val="BodyText2Char"/>
    <w:uiPriority w:val="99"/>
    <w:semiHidden/>
    <w:unhideWhenUsed/>
    <w:rsid w:val="000E4DB3"/>
    <w:pPr>
      <w:spacing w:after="120" w:line="480" w:lineRule="auto"/>
    </w:pPr>
  </w:style>
  <w:style w:type="character" w:customStyle="1" w:styleId="BodyText2Char">
    <w:name w:val="Body Text 2 Char"/>
    <w:basedOn w:val="DefaultParagraphFont"/>
    <w:link w:val="BodyText2"/>
    <w:uiPriority w:val="99"/>
    <w:semiHidden/>
    <w:rsid w:val="000E4DB3"/>
    <w:rPr>
      <w:rFonts w:ascii="Arial" w:hAnsi="Arial"/>
    </w:rPr>
  </w:style>
  <w:style w:type="paragraph" w:styleId="TOCHeading">
    <w:name w:val="TOC Heading"/>
    <w:basedOn w:val="Heading1"/>
    <w:next w:val="Normal"/>
    <w:uiPriority w:val="39"/>
    <w:unhideWhenUsed/>
    <w:qFormat/>
    <w:rsid w:val="000D2CE5"/>
    <w:pPr>
      <w:numPr>
        <w:numId w:val="0"/>
      </w:numPr>
      <w:spacing w:after="0"/>
      <w:outlineLvl w:val="9"/>
    </w:pPr>
    <w:rPr>
      <w:rFonts w:asciiTheme="majorHAnsi" w:hAnsiTheme="majorHAnsi" w:cstheme="majorBidi"/>
      <w:caps w:val="0"/>
      <w:color w:val="365F91" w:themeColor="accent1" w:themeShade="BF"/>
      <w:lang w:val="en-US"/>
    </w:rPr>
  </w:style>
  <w:style w:type="paragraph" w:styleId="TOC1">
    <w:name w:val="toc 1"/>
    <w:basedOn w:val="Normal"/>
    <w:next w:val="Normal"/>
    <w:autoRedefine/>
    <w:uiPriority w:val="39"/>
    <w:unhideWhenUsed/>
    <w:rsid w:val="000D2CE5"/>
    <w:pPr>
      <w:spacing w:after="100"/>
    </w:pPr>
  </w:style>
  <w:style w:type="paragraph" w:styleId="TOC2">
    <w:name w:val="toc 2"/>
    <w:basedOn w:val="Normal"/>
    <w:next w:val="Normal"/>
    <w:autoRedefine/>
    <w:uiPriority w:val="39"/>
    <w:unhideWhenUsed/>
    <w:rsid w:val="000D2CE5"/>
    <w:pPr>
      <w:spacing w:after="100"/>
      <w:ind w:left="220"/>
    </w:pPr>
  </w:style>
  <w:style w:type="paragraph" w:styleId="TOC3">
    <w:name w:val="toc 3"/>
    <w:basedOn w:val="Normal"/>
    <w:next w:val="Normal"/>
    <w:autoRedefine/>
    <w:uiPriority w:val="39"/>
    <w:unhideWhenUsed/>
    <w:rsid w:val="000D2CE5"/>
    <w:pPr>
      <w:spacing w:after="100"/>
      <w:ind w:left="440"/>
    </w:pPr>
  </w:style>
  <w:style w:type="paragraph" w:styleId="ListBullet">
    <w:name w:val="List Bullet"/>
    <w:basedOn w:val="BodyText"/>
    <w:uiPriority w:val="2"/>
    <w:qFormat/>
    <w:rsid w:val="000A0284"/>
    <w:pPr>
      <w:numPr>
        <w:numId w:val="3"/>
      </w:numPr>
      <w:spacing w:before="80" w:line="280" w:lineRule="exact"/>
    </w:pPr>
    <w:rPr>
      <w:rFonts w:ascii="Garamond" w:hAnsi="Garamond" w:cs="Times New Roman"/>
      <w:b w:val="0"/>
      <w:bCs w:val="0"/>
      <w:snapToGrid/>
      <w:color w:val="auto"/>
      <w:sz w:val="24"/>
      <w:lang w:eastAsia="en-AU"/>
    </w:rPr>
  </w:style>
  <w:style w:type="paragraph" w:styleId="ListBullet2">
    <w:name w:val="List Bullet 2"/>
    <w:basedOn w:val="ListBullet"/>
    <w:uiPriority w:val="2"/>
    <w:qFormat/>
    <w:rsid w:val="000A0284"/>
    <w:pPr>
      <w:numPr>
        <w:ilvl w:val="1"/>
      </w:numPr>
    </w:pPr>
  </w:style>
  <w:style w:type="paragraph" w:styleId="ListBullet3">
    <w:name w:val="List Bullet 3"/>
    <w:basedOn w:val="ListBullet2"/>
    <w:uiPriority w:val="2"/>
    <w:qFormat/>
    <w:rsid w:val="000A0284"/>
    <w:pPr>
      <w:numPr>
        <w:ilvl w:val="2"/>
      </w:numPr>
    </w:pPr>
  </w:style>
  <w:style w:type="paragraph" w:customStyle="1" w:styleId="figure">
    <w:name w:val="figure"/>
    <w:basedOn w:val="Normal"/>
    <w:rsid w:val="00B034EF"/>
    <w:pPr>
      <w:overflowPunct w:val="0"/>
      <w:autoSpaceDE w:val="0"/>
      <w:autoSpaceDN w:val="0"/>
      <w:adjustRightInd w:val="0"/>
      <w:spacing w:before="120" w:after="0" w:line="300" w:lineRule="atLeast"/>
      <w:textAlignment w:val="baseline"/>
    </w:pPr>
    <w:rPr>
      <w:rFonts w:ascii="Times New Roman" w:eastAsia="Times New Roman" w:hAnsi="Times New Roman" w:cs="Times New Roman"/>
      <w:i/>
      <w:iCs/>
      <w:lang w:eastAsia="en-AU"/>
    </w:rPr>
  </w:style>
  <w:style w:type="character" w:customStyle="1" w:styleId="InstructionText">
    <w:name w:val="Instruction Text"/>
    <w:basedOn w:val="DefaultParagraphFont"/>
    <w:qFormat/>
    <w:rsid w:val="00371762"/>
    <w:rPr>
      <w:i/>
      <w:color w:val="0070C0"/>
    </w:rPr>
  </w:style>
  <w:style w:type="paragraph" w:customStyle="1" w:styleId="NormalItalics">
    <w:name w:val="NormalItalics"/>
    <w:basedOn w:val="Normal"/>
    <w:rsid w:val="00371762"/>
    <w:pPr>
      <w:spacing w:before="100" w:beforeAutospacing="1" w:after="100" w:afterAutospacing="1" w:line="240" w:lineRule="auto"/>
    </w:pPr>
    <w:rPr>
      <w:rFonts w:eastAsia="Times New Roman" w:cs="Times New Roman"/>
      <w:i/>
      <w:iCs/>
      <w:lang w:eastAsia="en-AU"/>
    </w:rPr>
  </w:style>
  <w:style w:type="paragraph" w:customStyle="1" w:styleId="Texttoreplace">
    <w:name w:val="Text to replace"/>
    <w:basedOn w:val="Normal"/>
    <w:link w:val="TexttoreplaceChar"/>
    <w:uiPriority w:val="99"/>
    <w:qFormat/>
    <w:rsid w:val="00162E62"/>
    <w:rPr>
      <w:rFonts w:ascii="Times New Roman" w:hAnsi="Times New Roman"/>
      <w:i/>
      <w:sz w:val="24"/>
    </w:rPr>
  </w:style>
  <w:style w:type="character" w:customStyle="1" w:styleId="TexttoreplaceChar">
    <w:name w:val="Text to replace Char"/>
    <w:basedOn w:val="DefaultParagraphFont"/>
    <w:link w:val="Texttoreplace"/>
    <w:uiPriority w:val="99"/>
    <w:rsid w:val="00162E62"/>
    <w:rPr>
      <w:rFonts w:ascii="Times New Roman" w:hAnsi="Times New Roman"/>
      <w:i/>
      <w:sz w:val="24"/>
    </w:rPr>
  </w:style>
  <w:style w:type="paragraph" w:customStyle="1" w:styleId="NormalItalic">
    <w:name w:val="NormalItalic"/>
    <w:basedOn w:val="Normal"/>
    <w:rsid w:val="007649C4"/>
    <w:pPr>
      <w:spacing w:before="100" w:beforeAutospacing="1" w:after="100" w:afterAutospacing="1" w:line="240" w:lineRule="auto"/>
    </w:pPr>
    <w:rPr>
      <w:rFonts w:eastAsia="Times New Roman" w:cs="Arial"/>
      <w:i/>
      <w:iCs/>
      <w:lang w:eastAsia="en-AU"/>
    </w:rPr>
  </w:style>
</w:styles>
</file>

<file path=word/webSettings.xml><?xml version="1.0" encoding="utf-8"?>
<w:webSettings xmlns:r="http://schemas.openxmlformats.org/officeDocument/2006/relationships" xmlns:w="http://schemas.openxmlformats.org/wordprocessingml/2006/main">
  <w:divs>
    <w:div w:id="56130876">
      <w:bodyDiv w:val="1"/>
      <w:marLeft w:val="0"/>
      <w:marRight w:val="0"/>
      <w:marTop w:val="0"/>
      <w:marBottom w:val="0"/>
      <w:divBdr>
        <w:top w:val="none" w:sz="0" w:space="0" w:color="auto"/>
        <w:left w:val="none" w:sz="0" w:space="0" w:color="auto"/>
        <w:bottom w:val="none" w:sz="0" w:space="0" w:color="auto"/>
        <w:right w:val="none" w:sz="0" w:space="0" w:color="auto"/>
      </w:divBdr>
    </w:div>
    <w:div w:id="67534294">
      <w:bodyDiv w:val="1"/>
      <w:marLeft w:val="0"/>
      <w:marRight w:val="0"/>
      <w:marTop w:val="0"/>
      <w:marBottom w:val="0"/>
      <w:divBdr>
        <w:top w:val="none" w:sz="0" w:space="0" w:color="auto"/>
        <w:left w:val="none" w:sz="0" w:space="0" w:color="auto"/>
        <w:bottom w:val="none" w:sz="0" w:space="0" w:color="auto"/>
        <w:right w:val="none" w:sz="0" w:space="0" w:color="auto"/>
      </w:divBdr>
    </w:div>
    <w:div w:id="154422138">
      <w:bodyDiv w:val="1"/>
      <w:marLeft w:val="0"/>
      <w:marRight w:val="0"/>
      <w:marTop w:val="0"/>
      <w:marBottom w:val="0"/>
      <w:divBdr>
        <w:top w:val="none" w:sz="0" w:space="0" w:color="auto"/>
        <w:left w:val="none" w:sz="0" w:space="0" w:color="auto"/>
        <w:bottom w:val="none" w:sz="0" w:space="0" w:color="auto"/>
        <w:right w:val="none" w:sz="0" w:space="0" w:color="auto"/>
      </w:divBdr>
    </w:div>
    <w:div w:id="164246296">
      <w:bodyDiv w:val="1"/>
      <w:marLeft w:val="0"/>
      <w:marRight w:val="0"/>
      <w:marTop w:val="0"/>
      <w:marBottom w:val="0"/>
      <w:divBdr>
        <w:top w:val="none" w:sz="0" w:space="0" w:color="auto"/>
        <w:left w:val="none" w:sz="0" w:space="0" w:color="auto"/>
        <w:bottom w:val="none" w:sz="0" w:space="0" w:color="auto"/>
        <w:right w:val="none" w:sz="0" w:space="0" w:color="auto"/>
      </w:divBdr>
    </w:div>
    <w:div w:id="259218831">
      <w:bodyDiv w:val="1"/>
      <w:marLeft w:val="0"/>
      <w:marRight w:val="0"/>
      <w:marTop w:val="0"/>
      <w:marBottom w:val="0"/>
      <w:divBdr>
        <w:top w:val="none" w:sz="0" w:space="0" w:color="auto"/>
        <w:left w:val="none" w:sz="0" w:space="0" w:color="auto"/>
        <w:bottom w:val="none" w:sz="0" w:space="0" w:color="auto"/>
        <w:right w:val="none" w:sz="0" w:space="0" w:color="auto"/>
      </w:divBdr>
    </w:div>
    <w:div w:id="308217970">
      <w:bodyDiv w:val="1"/>
      <w:marLeft w:val="0"/>
      <w:marRight w:val="0"/>
      <w:marTop w:val="0"/>
      <w:marBottom w:val="0"/>
      <w:divBdr>
        <w:top w:val="none" w:sz="0" w:space="0" w:color="auto"/>
        <w:left w:val="none" w:sz="0" w:space="0" w:color="auto"/>
        <w:bottom w:val="none" w:sz="0" w:space="0" w:color="auto"/>
        <w:right w:val="none" w:sz="0" w:space="0" w:color="auto"/>
      </w:divBdr>
    </w:div>
    <w:div w:id="314989345">
      <w:bodyDiv w:val="1"/>
      <w:marLeft w:val="0"/>
      <w:marRight w:val="0"/>
      <w:marTop w:val="0"/>
      <w:marBottom w:val="0"/>
      <w:divBdr>
        <w:top w:val="none" w:sz="0" w:space="0" w:color="auto"/>
        <w:left w:val="none" w:sz="0" w:space="0" w:color="auto"/>
        <w:bottom w:val="none" w:sz="0" w:space="0" w:color="auto"/>
        <w:right w:val="none" w:sz="0" w:space="0" w:color="auto"/>
      </w:divBdr>
    </w:div>
    <w:div w:id="377164107">
      <w:bodyDiv w:val="1"/>
      <w:marLeft w:val="0"/>
      <w:marRight w:val="0"/>
      <w:marTop w:val="0"/>
      <w:marBottom w:val="0"/>
      <w:divBdr>
        <w:top w:val="none" w:sz="0" w:space="0" w:color="auto"/>
        <w:left w:val="none" w:sz="0" w:space="0" w:color="auto"/>
        <w:bottom w:val="none" w:sz="0" w:space="0" w:color="auto"/>
        <w:right w:val="none" w:sz="0" w:space="0" w:color="auto"/>
      </w:divBdr>
    </w:div>
    <w:div w:id="388653026">
      <w:bodyDiv w:val="1"/>
      <w:marLeft w:val="0"/>
      <w:marRight w:val="0"/>
      <w:marTop w:val="0"/>
      <w:marBottom w:val="0"/>
      <w:divBdr>
        <w:top w:val="none" w:sz="0" w:space="0" w:color="auto"/>
        <w:left w:val="none" w:sz="0" w:space="0" w:color="auto"/>
        <w:bottom w:val="none" w:sz="0" w:space="0" w:color="auto"/>
        <w:right w:val="none" w:sz="0" w:space="0" w:color="auto"/>
      </w:divBdr>
    </w:div>
    <w:div w:id="404495583">
      <w:bodyDiv w:val="1"/>
      <w:marLeft w:val="0"/>
      <w:marRight w:val="0"/>
      <w:marTop w:val="0"/>
      <w:marBottom w:val="0"/>
      <w:divBdr>
        <w:top w:val="none" w:sz="0" w:space="0" w:color="auto"/>
        <w:left w:val="none" w:sz="0" w:space="0" w:color="auto"/>
        <w:bottom w:val="none" w:sz="0" w:space="0" w:color="auto"/>
        <w:right w:val="none" w:sz="0" w:space="0" w:color="auto"/>
      </w:divBdr>
      <w:divsChild>
        <w:div w:id="62601614">
          <w:marLeft w:val="0"/>
          <w:marRight w:val="0"/>
          <w:marTop w:val="0"/>
          <w:marBottom w:val="0"/>
          <w:divBdr>
            <w:top w:val="none" w:sz="0" w:space="0" w:color="auto"/>
            <w:left w:val="none" w:sz="0" w:space="0" w:color="auto"/>
            <w:bottom w:val="none" w:sz="0" w:space="0" w:color="auto"/>
            <w:right w:val="none" w:sz="0" w:space="0" w:color="auto"/>
          </w:divBdr>
          <w:divsChild>
            <w:div w:id="1566909593">
              <w:marLeft w:val="122"/>
              <w:marRight w:val="109"/>
              <w:marTop w:val="14"/>
              <w:marBottom w:val="0"/>
              <w:divBdr>
                <w:top w:val="none" w:sz="0" w:space="0" w:color="auto"/>
                <w:left w:val="none" w:sz="0" w:space="0" w:color="auto"/>
                <w:bottom w:val="none" w:sz="0" w:space="0" w:color="auto"/>
                <w:right w:val="none" w:sz="0" w:space="0" w:color="auto"/>
              </w:divBdr>
              <w:divsChild>
                <w:div w:id="1490944666">
                  <w:marLeft w:val="0"/>
                  <w:marRight w:val="0"/>
                  <w:marTop w:val="0"/>
                  <w:marBottom w:val="0"/>
                  <w:divBdr>
                    <w:top w:val="none" w:sz="0" w:space="0" w:color="auto"/>
                    <w:left w:val="none" w:sz="0" w:space="0" w:color="auto"/>
                    <w:bottom w:val="none" w:sz="0" w:space="0" w:color="auto"/>
                    <w:right w:val="none" w:sz="0" w:space="0" w:color="auto"/>
                  </w:divBdr>
                  <w:divsChild>
                    <w:div w:id="8329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290692">
      <w:bodyDiv w:val="1"/>
      <w:marLeft w:val="0"/>
      <w:marRight w:val="0"/>
      <w:marTop w:val="0"/>
      <w:marBottom w:val="0"/>
      <w:divBdr>
        <w:top w:val="none" w:sz="0" w:space="0" w:color="auto"/>
        <w:left w:val="none" w:sz="0" w:space="0" w:color="auto"/>
        <w:bottom w:val="none" w:sz="0" w:space="0" w:color="auto"/>
        <w:right w:val="none" w:sz="0" w:space="0" w:color="auto"/>
      </w:divBdr>
    </w:div>
    <w:div w:id="510873540">
      <w:bodyDiv w:val="1"/>
      <w:marLeft w:val="0"/>
      <w:marRight w:val="0"/>
      <w:marTop w:val="0"/>
      <w:marBottom w:val="0"/>
      <w:divBdr>
        <w:top w:val="none" w:sz="0" w:space="0" w:color="auto"/>
        <w:left w:val="none" w:sz="0" w:space="0" w:color="auto"/>
        <w:bottom w:val="none" w:sz="0" w:space="0" w:color="auto"/>
        <w:right w:val="none" w:sz="0" w:space="0" w:color="auto"/>
      </w:divBdr>
    </w:div>
    <w:div w:id="559289477">
      <w:bodyDiv w:val="1"/>
      <w:marLeft w:val="0"/>
      <w:marRight w:val="0"/>
      <w:marTop w:val="0"/>
      <w:marBottom w:val="0"/>
      <w:divBdr>
        <w:top w:val="none" w:sz="0" w:space="0" w:color="auto"/>
        <w:left w:val="none" w:sz="0" w:space="0" w:color="auto"/>
        <w:bottom w:val="none" w:sz="0" w:space="0" w:color="auto"/>
        <w:right w:val="none" w:sz="0" w:space="0" w:color="auto"/>
      </w:divBdr>
    </w:div>
    <w:div w:id="711616974">
      <w:bodyDiv w:val="1"/>
      <w:marLeft w:val="0"/>
      <w:marRight w:val="0"/>
      <w:marTop w:val="0"/>
      <w:marBottom w:val="0"/>
      <w:divBdr>
        <w:top w:val="none" w:sz="0" w:space="0" w:color="auto"/>
        <w:left w:val="none" w:sz="0" w:space="0" w:color="auto"/>
        <w:bottom w:val="none" w:sz="0" w:space="0" w:color="auto"/>
        <w:right w:val="none" w:sz="0" w:space="0" w:color="auto"/>
      </w:divBdr>
    </w:div>
    <w:div w:id="720444495">
      <w:bodyDiv w:val="1"/>
      <w:marLeft w:val="0"/>
      <w:marRight w:val="0"/>
      <w:marTop w:val="0"/>
      <w:marBottom w:val="0"/>
      <w:divBdr>
        <w:top w:val="none" w:sz="0" w:space="0" w:color="auto"/>
        <w:left w:val="none" w:sz="0" w:space="0" w:color="auto"/>
        <w:bottom w:val="none" w:sz="0" w:space="0" w:color="auto"/>
        <w:right w:val="none" w:sz="0" w:space="0" w:color="auto"/>
      </w:divBdr>
    </w:div>
    <w:div w:id="747728133">
      <w:bodyDiv w:val="1"/>
      <w:marLeft w:val="0"/>
      <w:marRight w:val="0"/>
      <w:marTop w:val="0"/>
      <w:marBottom w:val="0"/>
      <w:divBdr>
        <w:top w:val="none" w:sz="0" w:space="0" w:color="auto"/>
        <w:left w:val="none" w:sz="0" w:space="0" w:color="auto"/>
        <w:bottom w:val="none" w:sz="0" w:space="0" w:color="auto"/>
        <w:right w:val="none" w:sz="0" w:space="0" w:color="auto"/>
      </w:divBdr>
    </w:div>
    <w:div w:id="823354746">
      <w:bodyDiv w:val="1"/>
      <w:marLeft w:val="0"/>
      <w:marRight w:val="0"/>
      <w:marTop w:val="0"/>
      <w:marBottom w:val="0"/>
      <w:divBdr>
        <w:top w:val="none" w:sz="0" w:space="0" w:color="auto"/>
        <w:left w:val="none" w:sz="0" w:space="0" w:color="auto"/>
        <w:bottom w:val="none" w:sz="0" w:space="0" w:color="auto"/>
        <w:right w:val="none" w:sz="0" w:space="0" w:color="auto"/>
      </w:divBdr>
    </w:div>
    <w:div w:id="857044812">
      <w:bodyDiv w:val="1"/>
      <w:marLeft w:val="0"/>
      <w:marRight w:val="0"/>
      <w:marTop w:val="0"/>
      <w:marBottom w:val="0"/>
      <w:divBdr>
        <w:top w:val="none" w:sz="0" w:space="0" w:color="auto"/>
        <w:left w:val="none" w:sz="0" w:space="0" w:color="auto"/>
        <w:bottom w:val="none" w:sz="0" w:space="0" w:color="auto"/>
        <w:right w:val="none" w:sz="0" w:space="0" w:color="auto"/>
      </w:divBdr>
    </w:div>
    <w:div w:id="1001662889">
      <w:bodyDiv w:val="1"/>
      <w:marLeft w:val="0"/>
      <w:marRight w:val="0"/>
      <w:marTop w:val="0"/>
      <w:marBottom w:val="0"/>
      <w:divBdr>
        <w:top w:val="none" w:sz="0" w:space="0" w:color="auto"/>
        <w:left w:val="none" w:sz="0" w:space="0" w:color="auto"/>
        <w:bottom w:val="none" w:sz="0" w:space="0" w:color="auto"/>
        <w:right w:val="none" w:sz="0" w:space="0" w:color="auto"/>
      </w:divBdr>
    </w:div>
    <w:div w:id="1100447052">
      <w:bodyDiv w:val="1"/>
      <w:marLeft w:val="0"/>
      <w:marRight w:val="0"/>
      <w:marTop w:val="0"/>
      <w:marBottom w:val="0"/>
      <w:divBdr>
        <w:top w:val="none" w:sz="0" w:space="0" w:color="auto"/>
        <w:left w:val="none" w:sz="0" w:space="0" w:color="auto"/>
        <w:bottom w:val="none" w:sz="0" w:space="0" w:color="auto"/>
        <w:right w:val="none" w:sz="0" w:space="0" w:color="auto"/>
      </w:divBdr>
    </w:div>
    <w:div w:id="1163816476">
      <w:bodyDiv w:val="1"/>
      <w:marLeft w:val="0"/>
      <w:marRight w:val="0"/>
      <w:marTop w:val="0"/>
      <w:marBottom w:val="0"/>
      <w:divBdr>
        <w:top w:val="none" w:sz="0" w:space="0" w:color="auto"/>
        <w:left w:val="none" w:sz="0" w:space="0" w:color="auto"/>
        <w:bottom w:val="none" w:sz="0" w:space="0" w:color="auto"/>
        <w:right w:val="none" w:sz="0" w:space="0" w:color="auto"/>
      </w:divBdr>
    </w:div>
    <w:div w:id="1176306797">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8">
          <w:marLeft w:val="0"/>
          <w:marRight w:val="0"/>
          <w:marTop w:val="0"/>
          <w:marBottom w:val="0"/>
          <w:divBdr>
            <w:top w:val="none" w:sz="0" w:space="0" w:color="auto"/>
            <w:left w:val="none" w:sz="0" w:space="0" w:color="auto"/>
            <w:bottom w:val="none" w:sz="0" w:space="0" w:color="auto"/>
            <w:right w:val="none" w:sz="0" w:space="0" w:color="auto"/>
          </w:divBdr>
          <w:divsChild>
            <w:div w:id="1221481981">
              <w:marLeft w:val="0"/>
              <w:marRight w:val="0"/>
              <w:marTop w:val="0"/>
              <w:marBottom w:val="0"/>
              <w:divBdr>
                <w:top w:val="none" w:sz="0" w:space="0" w:color="auto"/>
                <w:left w:val="none" w:sz="0" w:space="0" w:color="auto"/>
                <w:bottom w:val="none" w:sz="0" w:space="0" w:color="auto"/>
                <w:right w:val="none" w:sz="0" w:space="0" w:color="auto"/>
              </w:divBdr>
              <w:divsChild>
                <w:div w:id="90113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8691">
      <w:bodyDiv w:val="1"/>
      <w:marLeft w:val="0"/>
      <w:marRight w:val="0"/>
      <w:marTop w:val="0"/>
      <w:marBottom w:val="0"/>
      <w:divBdr>
        <w:top w:val="none" w:sz="0" w:space="0" w:color="auto"/>
        <w:left w:val="none" w:sz="0" w:space="0" w:color="auto"/>
        <w:bottom w:val="none" w:sz="0" w:space="0" w:color="auto"/>
        <w:right w:val="none" w:sz="0" w:space="0" w:color="auto"/>
      </w:divBdr>
    </w:div>
    <w:div w:id="1248659727">
      <w:bodyDiv w:val="1"/>
      <w:marLeft w:val="0"/>
      <w:marRight w:val="0"/>
      <w:marTop w:val="0"/>
      <w:marBottom w:val="0"/>
      <w:divBdr>
        <w:top w:val="none" w:sz="0" w:space="0" w:color="auto"/>
        <w:left w:val="none" w:sz="0" w:space="0" w:color="auto"/>
        <w:bottom w:val="none" w:sz="0" w:space="0" w:color="auto"/>
        <w:right w:val="none" w:sz="0" w:space="0" w:color="auto"/>
      </w:divBdr>
    </w:div>
    <w:div w:id="1429350686">
      <w:bodyDiv w:val="1"/>
      <w:marLeft w:val="0"/>
      <w:marRight w:val="0"/>
      <w:marTop w:val="0"/>
      <w:marBottom w:val="0"/>
      <w:divBdr>
        <w:top w:val="none" w:sz="0" w:space="0" w:color="auto"/>
        <w:left w:val="none" w:sz="0" w:space="0" w:color="auto"/>
        <w:bottom w:val="none" w:sz="0" w:space="0" w:color="auto"/>
        <w:right w:val="none" w:sz="0" w:space="0" w:color="auto"/>
      </w:divBdr>
    </w:div>
    <w:div w:id="1433741412">
      <w:bodyDiv w:val="1"/>
      <w:marLeft w:val="0"/>
      <w:marRight w:val="0"/>
      <w:marTop w:val="0"/>
      <w:marBottom w:val="0"/>
      <w:divBdr>
        <w:top w:val="none" w:sz="0" w:space="0" w:color="auto"/>
        <w:left w:val="none" w:sz="0" w:space="0" w:color="auto"/>
        <w:bottom w:val="none" w:sz="0" w:space="0" w:color="auto"/>
        <w:right w:val="none" w:sz="0" w:space="0" w:color="auto"/>
      </w:divBdr>
    </w:div>
    <w:div w:id="1476799821">
      <w:bodyDiv w:val="1"/>
      <w:marLeft w:val="0"/>
      <w:marRight w:val="0"/>
      <w:marTop w:val="0"/>
      <w:marBottom w:val="0"/>
      <w:divBdr>
        <w:top w:val="none" w:sz="0" w:space="0" w:color="auto"/>
        <w:left w:val="none" w:sz="0" w:space="0" w:color="auto"/>
        <w:bottom w:val="none" w:sz="0" w:space="0" w:color="auto"/>
        <w:right w:val="none" w:sz="0" w:space="0" w:color="auto"/>
      </w:divBdr>
    </w:div>
    <w:div w:id="1477340258">
      <w:bodyDiv w:val="1"/>
      <w:marLeft w:val="0"/>
      <w:marRight w:val="0"/>
      <w:marTop w:val="0"/>
      <w:marBottom w:val="0"/>
      <w:divBdr>
        <w:top w:val="none" w:sz="0" w:space="0" w:color="auto"/>
        <w:left w:val="none" w:sz="0" w:space="0" w:color="auto"/>
        <w:bottom w:val="none" w:sz="0" w:space="0" w:color="auto"/>
        <w:right w:val="none" w:sz="0" w:space="0" w:color="auto"/>
      </w:divBdr>
    </w:div>
    <w:div w:id="1667442891">
      <w:bodyDiv w:val="1"/>
      <w:marLeft w:val="0"/>
      <w:marRight w:val="0"/>
      <w:marTop w:val="0"/>
      <w:marBottom w:val="0"/>
      <w:divBdr>
        <w:top w:val="none" w:sz="0" w:space="0" w:color="auto"/>
        <w:left w:val="none" w:sz="0" w:space="0" w:color="auto"/>
        <w:bottom w:val="none" w:sz="0" w:space="0" w:color="auto"/>
        <w:right w:val="none" w:sz="0" w:space="0" w:color="auto"/>
      </w:divBdr>
    </w:div>
    <w:div w:id="1781679285">
      <w:bodyDiv w:val="1"/>
      <w:marLeft w:val="0"/>
      <w:marRight w:val="0"/>
      <w:marTop w:val="0"/>
      <w:marBottom w:val="0"/>
      <w:divBdr>
        <w:top w:val="none" w:sz="0" w:space="0" w:color="auto"/>
        <w:left w:val="none" w:sz="0" w:space="0" w:color="auto"/>
        <w:bottom w:val="none" w:sz="0" w:space="0" w:color="auto"/>
        <w:right w:val="none" w:sz="0" w:space="0" w:color="auto"/>
      </w:divBdr>
    </w:div>
    <w:div w:id="1842507210">
      <w:bodyDiv w:val="1"/>
      <w:marLeft w:val="0"/>
      <w:marRight w:val="0"/>
      <w:marTop w:val="0"/>
      <w:marBottom w:val="0"/>
      <w:divBdr>
        <w:top w:val="none" w:sz="0" w:space="0" w:color="auto"/>
        <w:left w:val="none" w:sz="0" w:space="0" w:color="auto"/>
        <w:bottom w:val="none" w:sz="0" w:space="0" w:color="auto"/>
        <w:right w:val="none" w:sz="0" w:space="0" w:color="auto"/>
      </w:divBdr>
    </w:div>
    <w:div w:id="1906716004">
      <w:bodyDiv w:val="1"/>
      <w:marLeft w:val="0"/>
      <w:marRight w:val="0"/>
      <w:marTop w:val="0"/>
      <w:marBottom w:val="0"/>
      <w:divBdr>
        <w:top w:val="none" w:sz="0" w:space="0" w:color="auto"/>
        <w:left w:val="none" w:sz="0" w:space="0" w:color="auto"/>
        <w:bottom w:val="none" w:sz="0" w:space="0" w:color="auto"/>
        <w:right w:val="none" w:sz="0" w:space="0" w:color="auto"/>
      </w:divBdr>
    </w:div>
    <w:div w:id="1936010629">
      <w:bodyDiv w:val="1"/>
      <w:marLeft w:val="0"/>
      <w:marRight w:val="0"/>
      <w:marTop w:val="0"/>
      <w:marBottom w:val="0"/>
      <w:divBdr>
        <w:top w:val="none" w:sz="0" w:space="0" w:color="auto"/>
        <w:left w:val="none" w:sz="0" w:space="0" w:color="auto"/>
        <w:bottom w:val="none" w:sz="0" w:space="0" w:color="auto"/>
        <w:right w:val="none" w:sz="0" w:space="0" w:color="auto"/>
      </w:divBdr>
      <w:divsChild>
        <w:div w:id="1030954052">
          <w:marLeft w:val="0"/>
          <w:marRight w:val="0"/>
          <w:marTop w:val="0"/>
          <w:marBottom w:val="0"/>
          <w:divBdr>
            <w:top w:val="none" w:sz="0" w:space="0" w:color="auto"/>
            <w:left w:val="none" w:sz="0" w:space="0" w:color="auto"/>
            <w:bottom w:val="none" w:sz="0" w:space="0" w:color="auto"/>
            <w:right w:val="none" w:sz="0" w:space="0" w:color="auto"/>
          </w:divBdr>
          <w:divsChild>
            <w:div w:id="1466435676">
              <w:marLeft w:val="0"/>
              <w:marRight w:val="0"/>
              <w:marTop w:val="0"/>
              <w:marBottom w:val="0"/>
              <w:divBdr>
                <w:top w:val="none" w:sz="0" w:space="0" w:color="auto"/>
                <w:left w:val="none" w:sz="0" w:space="0" w:color="auto"/>
                <w:bottom w:val="none" w:sz="0" w:space="0" w:color="auto"/>
                <w:right w:val="none" w:sz="0" w:space="0" w:color="auto"/>
              </w:divBdr>
              <w:divsChild>
                <w:div w:id="16482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64349">
      <w:bodyDiv w:val="1"/>
      <w:marLeft w:val="0"/>
      <w:marRight w:val="0"/>
      <w:marTop w:val="0"/>
      <w:marBottom w:val="0"/>
      <w:divBdr>
        <w:top w:val="none" w:sz="0" w:space="0" w:color="auto"/>
        <w:left w:val="none" w:sz="0" w:space="0" w:color="auto"/>
        <w:bottom w:val="none" w:sz="0" w:space="0" w:color="auto"/>
        <w:right w:val="none" w:sz="0" w:space="0" w:color="auto"/>
      </w:divBdr>
    </w:div>
    <w:div w:id="1974434270">
      <w:bodyDiv w:val="1"/>
      <w:marLeft w:val="0"/>
      <w:marRight w:val="0"/>
      <w:marTop w:val="0"/>
      <w:marBottom w:val="0"/>
      <w:divBdr>
        <w:top w:val="none" w:sz="0" w:space="0" w:color="auto"/>
        <w:left w:val="none" w:sz="0" w:space="0" w:color="auto"/>
        <w:bottom w:val="none" w:sz="0" w:space="0" w:color="auto"/>
        <w:right w:val="none" w:sz="0" w:space="0" w:color="auto"/>
      </w:divBdr>
    </w:div>
    <w:div w:id="1996102340">
      <w:bodyDiv w:val="1"/>
      <w:marLeft w:val="0"/>
      <w:marRight w:val="0"/>
      <w:marTop w:val="0"/>
      <w:marBottom w:val="0"/>
      <w:divBdr>
        <w:top w:val="none" w:sz="0" w:space="0" w:color="auto"/>
        <w:left w:val="none" w:sz="0" w:space="0" w:color="auto"/>
        <w:bottom w:val="none" w:sz="0" w:space="0" w:color="auto"/>
        <w:right w:val="none" w:sz="0" w:space="0" w:color="auto"/>
      </w:divBdr>
      <w:divsChild>
        <w:div w:id="1651902424">
          <w:marLeft w:val="0"/>
          <w:marRight w:val="0"/>
          <w:marTop w:val="0"/>
          <w:marBottom w:val="0"/>
          <w:divBdr>
            <w:top w:val="none" w:sz="0" w:space="0" w:color="auto"/>
            <w:left w:val="none" w:sz="0" w:space="0" w:color="auto"/>
            <w:bottom w:val="none" w:sz="0" w:space="0" w:color="auto"/>
            <w:right w:val="none" w:sz="0" w:space="0" w:color="auto"/>
          </w:divBdr>
          <w:divsChild>
            <w:div w:id="190383617">
              <w:marLeft w:val="0"/>
              <w:marRight w:val="0"/>
              <w:marTop w:val="0"/>
              <w:marBottom w:val="0"/>
              <w:divBdr>
                <w:top w:val="none" w:sz="0" w:space="0" w:color="auto"/>
                <w:left w:val="none" w:sz="0" w:space="0" w:color="auto"/>
                <w:bottom w:val="none" w:sz="0" w:space="0" w:color="auto"/>
                <w:right w:val="none" w:sz="0" w:space="0" w:color="auto"/>
              </w:divBdr>
              <w:divsChild>
                <w:div w:id="2136752743">
                  <w:marLeft w:val="0"/>
                  <w:marRight w:val="0"/>
                  <w:marTop w:val="0"/>
                  <w:marBottom w:val="0"/>
                  <w:divBdr>
                    <w:top w:val="none" w:sz="0" w:space="0" w:color="auto"/>
                    <w:left w:val="none" w:sz="0" w:space="0" w:color="auto"/>
                    <w:bottom w:val="none" w:sz="0" w:space="0" w:color="auto"/>
                    <w:right w:val="none" w:sz="0" w:space="0" w:color="auto"/>
                  </w:divBdr>
                  <w:divsChild>
                    <w:div w:id="235626222">
                      <w:marLeft w:val="0"/>
                      <w:marRight w:val="0"/>
                      <w:marTop w:val="0"/>
                      <w:marBottom w:val="0"/>
                      <w:divBdr>
                        <w:top w:val="none" w:sz="0" w:space="0" w:color="auto"/>
                        <w:left w:val="none" w:sz="0" w:space="0" w:color="auto"/>
                        <w:bottom w:val="none" w:sz="0" w:space="0" w:color="auto"/>
                        <w:right w:val="none" w:sz="0" w:space="0" w:color="auto"/>
                      </w:divBdr>
                      <w:divsChild>
                        <w:div w:id="2532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450799">
      <w:bodyDiv w:val="1"/>
      <w:marLeft w:val="0"/>
      <w:marRight w:val="0"/>
      <w:marTop w:val="0"/>
      <w:marBottom w:val="0"/>
      <w:divBdr>
        <w:top w:val="none" w:sz="0" w:space="0" w:color="auto"/>
        <w:left w:val="none" w:sz="0" w:space="0" w:color="auto"/>
        <w:bottom w:val="none" w:sz="0" w:space="0" w:color="auto"/>
        <w:right w:val="none" w:sz="0" w:space="0" w:color="auto"/>
      </w:divBdr>
      <w:divsChild>
        <w:div w:id="794298822">
          <w:marLeft w:val="0"/>
          <w:marRight w:val="0"/>
          <w:marTop w:val="0"/>
          <w:marBottom w:val="0"/>
          <w:divBdr>
            <w:top w:val="none" w:sz="0" w:space="0" w:color="auto"/>
            <w:left w:val="none" w:sz="0" w:space="0" w:color="auto"/>
            <w:bottom w:val="none" w:sz="0" w:space="0" w:color="auto"/>
            <w:right w:val="none" w:sz="0" w:space="0" w:color="auto"/>
          </w:divBdr>
          <w:divsChild>
            <w:div w:id="660013110">
              <w:marLeft w:val="0"/>
              <w:marRight w:val="0"/>
              <w:marTop w:val="0"/>
              <w:marBottom w:val="0"/>
              <w:divBdr>
                <w:top w:val="none" w:sz="0" w:space="0" w:color="auto"/>
                <w:left w:val="none" w:sz="0" w:space="0" w:color="auto"/>
                <w:bottom w:val="none" w:sz="0" w:space="0" w:color="auto"/>
                <w:right w:val="none" w:sz="0" w:space="0" w:color="auto"/>
              </w:divBdr>
              <w:divsChild>
                <w:div w:id="9276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49496">
      <w:bodyDiv w:val="1"/>
      <w:marLeft w:val="0"/>
      <w:marRight w:val="0"/>
      <w:marTop w:val="0"/>
      <w:marBottom w:val="0"/>
      <w:divBdr>
        <w:top w:val="none" w:sz="0" w:space="0" w:color="auto"/>
        <w:left w:val="none" w:sz="0" w:space="0" w:color="auto"/>
        <w:bottom w:val="none" w:sz="0" w:space="0" w:color="auto"/>
        <w:right w:val="none" w:sz="0" w:space="0" w:color="auto"/>
      </w:divBdr>
    </w:div>
    <w:div w:id="2116169979">
      <w:bodyDiv w:val="1"/>
      <w:marLeft w:val="0"/>
      <w:marRight w:val="0"/>
      <w:marTop w:val="0"/>
      <w:marBottom w:val="0"/>
      <w:divBdr>
        <w:top w:val="none" w:sz="0" w:space="0" w:color="auto"/>
        <w:left w:val="none" w:sz="0" w:space="0" w:color="auto"/>
        <w:bottom w:val="none" w:sz="0" w:space="0" w:color="auto"/>
        <w:right w:val="none" w:sz="0" w:space="0" w:color="auto"/>
      </w:divBdr>
    </w:div>
    <w:div w:id="2130003806">
      <w:bodyDiv w:val="1"/>
      <w:marLeft w:val="0"/>
      <w:marRight w:val="0"/>
      <w:marTop w:val="0"/>
      <w:marBottom w:val="0"/>
      <w:divBdr>
        <w:top w:val="none" w:sz="0" w:space="0" w:color="auto"/>
        <w:left w:val="none" w:sz="0" w:space="0" w:color="auto"/>
        <w:bottom w:val="none" w:sz="0" w:space="0" w:color="auto"/>
        <w:right w:val="none" w:sz="0" w:space="0" w:color="auto"/>
      </w:divBdr>
      <w:divsChild>
        <w:div w:id="584001862">
          <w:marLeft w:val="0"/>
          <w:marRight w:val="0"/>
          <w:marTop w:val="0"/>
          <w:marBottom w:val="0"/>
          <w:divBdr>
            <w:top w:val="none" w:sz="0" w:space="0" w:color="auto"/>
            <w:left w:val="none" w:sz="0" w:space="0" w:color="auto"/>
            <w:bottom w:val="none" w:sz="0" w:space="0" w:color="auto"/>
            <w:right w:val="none" w:sz="0" w:space="0" w:color="auto"/>
          </w:divBdr>
          <w:divsChild>
            <w:div w:id="1050555">
              <w:marLeft w:val="0"/>
              <w:marRight w:val="0"/>
              <w:marTop w:val="0"/>
              <w:marBottom w:val="0"/>
              <w:divBdr>
                <w:top w:val="none" w:sz="0" w:space="0" w:color="auto"/>
                <w:left w:val="none" w:sz="0" w:space="0" w:color="auto"/>
                <w:bottom w:val="none" w:sz="0" w:space="0" w:color="auto"/>
                <w:right w:val="none" w:sz="0" w:space="0" w:color="auto"/>
              </w:divBdr>
              <w:divsChild>
                <w:div w:id="11457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vm-filep.dept.prod\infrapol$\IPP\2%20Passenger%20Trans%20Strategy\Projects\Transit%20Corridors\Main%20Road\Data\Household%20travel%20survey\GH-HTS-focus%20on%20corridor-12-02-27.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clustered"/>
        <c:ser>
          <c:idx val="0"/>
          <c:order val="0"/>
          <c:tx>
            <c:strRef>
              <c:f>'Trip time by SLA of residence'!$E$102</c:f>
              <c:strCache>
                <c:ptCount val="1"/>
                <c:pt idx="0">
                  <c:v>Glenorchy</c:v>
                </c:pt>
              </c:strCache>
            </c:strRef>
          </c:tx>
          <c:cat>
            <c:strRef>
              <c:f>'Trip time by SLA of residence'!$F$101:$I$101</c:f>
              <c:strCache>
                <c:ptCount val="4"/>
                <c:pt idx="0">
                  <c:v>AM Peak (7AM-9AM)</c:v>
                </c:pt>
                <c:pt idx="1">
                  <c:v>Inter-peak (9AM-4PM</c:v>
                </c:pt>
                <c:pt idx="2">
                  <c:v>PM Peak (4PM-6PM)</c:v>
                </c:pt>
                <c:pt idx="3">
                  <c:v>Evening (6PM-6AM)</c:v>
                </c:pt>
              </c:strCache>
            </c:strRef>
          </c:cat>
          <c:val>
            <c:numRef>
              <c:f>'Trip time by SLA of residence'!$F$102:$I$102</c:f>
              <c:numCache>
                <c:formatCode>0.00%</c:formatCode>
                <c:ptCount val="4"/>
                <c:pt idx="0">
                  <c:v>0.10373685970254054</c:v>
                </c:pt>
                <c:pt idx="1">
                  <c:v>6.6504284592372259E-2</c:v>
                </c:pt>
                <c:pt idx="2">
                  <c:v>7.9979439333045785E-2</c:v>
                </c:pt>
                <c:pt idx="3">
                  <c:v>1.1033127157619296E-2</c:v>
                </c:pt>
              </c:numCache>
            </c:numRef>
          </c:val>
        </c:ser>
        <c:ser>
          <c:idx val="1"/>
          <c:order val="1"/>
          <c:tx>
            <c:strRef>
              <c:f>'Trip time by SLA of residence'!$E$103</c:f>
              <c:strCache>
                <c:ptCount val="1"/>
                <c:pt idx="0">
                  <c:v>Hobart</c:v>
                </c:pt>
              </c:strCache>
            </c:strRef>
          </c:tx>
          <c:cat>
            <c:strRef>
              <c:f>'Trip time by SLA of residence'!$F$101:$I$101</c:f>
              <c:strCache>
                <c:ptCount val="4"/>
                <c:pt idx="0">
                  <c:v>AM Peak (7AM-9AM)</c:v>
                </c:pt>
                <c:pt idx="1">
                  <c:v>Inter-peak (9AM-4PM</c:v>
                </c:pt>
                <c:pt idx="2">
                  <c:v>PM Peak (4PM-6PM)</c:v>
                </c:pt>
                <c:pt idx="3">
                  <c:v>Evening (6PM-6AM)</c:v>
                </c:pt>
              </c:strCache>
            </c:strRef>
          </c:cat>
          <c:val>
            <c:numRef>
              <c:f>'Trip time by SLA of residence'!$F$103:$I$103</c:f>
              <c:numCache>
                <c:formatCode>0.00%</c:formatCode>
                <c:ptCount val="4"/>
                <c:pt idx="0">
                  <c:v>9.9299956685746607E-2</c:v>
                </c:pt>
                <c:pt idx="1">
                  <c:v>6.3887634870347487E-2</c:v>
                </c:pt>
                <c:pt idx="2">
                  <c:v>9.6807505433906177E-2</c:v>
                </c:pt>
                <c:pt idx="3">
                  <c:v>9.7739295639231345E-3</c:v>
                </c:pt>
              </c:numCache>
            </c:numRef>
          </c:val>
        </c:ser>
        <c:ser>
          <c:idx val="2"/>
          <c:order val="2"/>
          <c:tx>
            <c:strRef>
              <c:f>'Trip time by SLA of residence'!$E$104</c:f>
              <c:strCache>
                <c:ptCount val="1"/>
                <c:pt idx="0">
                  <c:v>Greater Hobart</c:v>
                </c:pt>
              </c:strCache>
            </c:strRef>
          </c:tx>
          <c:cat>
            <c:strRef>
              <c:f>'Trip time by SLA of residence'!$F$101:$I$101</c:f>
              <c:strCache>
                <c:ptCount val="4"/>
                <c:pt idx="0">
                  <c:v>AM Peak (7AM-9AM)</c:v>
                </c:pt>
                <c:pt idx="1">
                  <c:v>Inter-peak (9AM-4PM</c:v>
                </c:pt>
                <c:pt idx="2">
                  <c:v>PM Peak (4PM-6PM)</c:v>
                </c:pt>
                <c:pt idx="3">
                  <c:v>Evening (6PM-6AM)</c:v>
                </c:pt>
              </c:strCache>
            </c:strRef>
          </c:cat>
          <c:val>
            <c:numRef>
              <c:f>'Trip time by SLA of residence'!$F$104:$I$104</c:f>
              <c:numCache>
                <c:formatCode>0.00%</c:formatCode>
                <c:ptCount val="4"/>
                <c:pt idx="0">
                  <c:v>0.10796820148249887</c:v>
                </c:pt>
                <c:pt idx="1">
                  <c:v>6.3366083224725048E-2</c:v>
                </c:pt>
                <c:pt idx="2">
                  <c:v>0.10092058695539592</c:v>
                </c:pt>
                <c:pt idx="3">
                  <c:v>1.1999717703433825E-2</c:v>
                </c:pt>
              </c:numCache>
            </c:numRef>
          </c:val>
        </c:ser>
        <c:axId val="120318208"/>
        <c:axId val="123135872"/>
      </c:barChart>
      <c:catAx>
        <c:axId val="120318208"/>
        <c:scaling>
          <c:orientation val="minMax"/>
        </c:scaling>
        <c:axPos val="b"/>
        <c:numFmt formatCode="General" sourceLinked="1"/>
        <c:tickLblPos val="nextTo"/>
        <c:txPr>
          <a:bodyPr/>
          <a:lstStyle/>
          <a:p>
            <a:pPr>
              <a:defRPr sz="900">
                <a:latin typeface="Arial" pitchFamily="34" charset="0"/>
                <a:cs typeface="Arial" pitchFamily="34" charset="0"/>
              </a:defRPr>
            </a:pPr>
            <a:endParaRPr lang="en-US"/>
          </a:p>
        </c:txPr>
        <c:crossAx val="123135872"/>
        <c:crosses val="autoZero"/>
        <c:auto val="1"/>
        <c:lblAlgn val="ctr"/>
        <c:lblOffset val="100"/>
      </c:catAx>
      <c:valAx>
        <c:axId val="123135872"/>
        <c:scaling>
          <c:orientation val="minMax"/>
        </c:scaling>
        <c:axPos val="l"/>
        <c:majorGridlines/>
        <c:numFmt formatCode="0.00%" sourceLinked="1"/>
        <c:tickLblPos val="nextTo"/>
        <c:txPr>
          <a:bodyPr/>
          <a:lstStyle/>
          <a:p>
            <a:pPr>
              <a:defRPr sz="900" baseline="0">
                <a:latin typeface="Arial" pitchFamily="34" charset="0"/>
                <a:cs typeface="Arial" pitchFamily="34" charset="0"/>
              </a:defRPr>
            </a:pPr>
            <a:endParaRPr lang="en-US"/>
          </a:p>
        </c:txPr>
        <c:crossAx val="120318208"/>
        <c:crosses val="autoZero"/>
        <c:crossBetween val="between"/>
      </c:valAx>
    </c:plotArea>
    <c:legend>
      <c:legendPos val="r"/>
      <c:txPr>
        <a:bodyPr/>
        <a:lstStyle/>
        <a:p>
          <a:pPr>
            <a:defRPr sz="900">
              <a:latin typeface="Arial" pitchFamily="34" charset="0"/>
              <a:cs typeface="Arial" pitchFamily="34"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9671810068993681"/>
          <c:y val="0.20246719160105076"/>
          <c:w val="0.74115303406626387"/>
          <c:h val="0.61843139399241753"/>
        </c:manualLayout>
      </c:layout>
      <c:barChart>
        <c:barDir val="bar"/>
        <c:grouping val="percentStacked"/>
        <c:ser>
          <c:idx val="0"/>
          <c:order val="0"/>
          <c:tx>
            <c:strRef>
              <c:f>'[GH-HTS-focus on corridor-12-02-27.xlsm]PIV-Travel Mode for major trips'!$B$54</c:f>
              <c:strCache>
                <c:ptCount val="1"/>
                <c:pt idx="0">
                  <c:v>Car Driver </c:v>
                </c:pt>
              </c:strCache>
            </c:strRef>
          </c:tx>
          <c:dLbls>
            <c:dLbl>
              <c:idx val="0"/>
              <c:tx>
                <c:strRef>
                  <c:f>'[GH-HTS-focus on corridor-12-02-27.xlsm]PIV-Travel Mode for major trips'!$B$74</c:f>
                  <c:strCache>
                    <c:ptCount val="1"/>
                    <c:pt idx="0">
                      <c:v>7%</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1"/>
              <c:tx>
                <c:strRef>
                  <c:f>'[GH-HTS-focus on corridor-12-02-27.xlsm]PIV-Travel Mode for major trips'!$B$75</c:f>
                  <c:strCache>
                    <c:ptCount val="1"/>
                    <c:pt idx="0">
                      <c:v>63%</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2"/>
              <c:tx>
                <c:strRef>
                  <c:f>'[GH-HTS-focus on corridor-12-02-27.xlsm]PIV-Travel Mode for major trips'!$B$76</c:f>
                  <c:strCache>
                    <c:ptCount val="1"/>
                    <c:pt idx="0">
                      <c:v>52%</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3"/>
              <c:tx>
                <c:strRef>
                  <c:f>'[GH-HTS-focus on corridor-12-02-27.xlsm]PIV-Travel Mode for major trips'!$B$77</c:f>
                  <c:strCache>
                    <c:ptCount val="1"/>
                    <c:pt idx="0">
                      <c:v>34%</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4"/>
              <c:tx>
                <c:strRef>
                  <c:f>'[GH-HTS-focus on corridor-12-02-27.xlsm]PIV-Travel Mode for major trips'!$B$78</c:f>
                  <c:strCache>
                    <c:ptCount val="1"/>
                    <c:pt idx="0">
                      <c:v>43%</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5"/>
              <c:tx>
                <c:strRef>
                  <c:f>'[GH-HTS-focus on corridor-12-02-27.xlsm]PIV-Travel Mode for major trips'!$B$79</c:f>
                  <c:strCache>
                    <c:ptCount val="1"/>
                    <c:pt idx="0">
                      <c:v>60%</c:v>
                    </c:pt>
                  </c:strCache>
                </c:strRef>
              </c:tx>
              <c:spPr/>
              <c:txPr>
                <a:bodyPr/>
                <a:lstStyle/>
                <a:p>
                  <a:pPr>
                    <a:defRPr sz="800" b="0" i="0" strike="noStrike" baseline="0">
                      <a:latin typeface="Arial" pitchFamily="34" charset="0"/>
                      <a:cs typeface="Arial" pitchFamily="34" charset="0"/>
                    </a:defRPr>
                  </a:pPr>
                  <a:endParaRPr lang="en-US"/>
                </a:p>
              </c:txPr>
              <c:dLblPos val="ctr"/>
              <c:showVal val="1"/>
            </c:dLbl>
            <c:txPr>
              <a:bodyPr/>
              <a:lstStyle/>
              <a:p>
                <a:pPr>
                  <a:defRPr sz="800" baseline="0">
                    <a:latin typeface="Arial" pitchFamily="34" charset="0"/>
                    <a:cs typeface="Arial" pitchFamily="34" charset="0"/>
                  </a:defRPr>
                </a:pPr>
                <a:endParaRPr lang="en-US"/>
              </a:p>
            </c:txPr>
            <c:showVal val="1"/>
          </c:dLbls>
          <c:cat>
            <c:strRef>
              <c:f>'[GH-HTS-focus on corridor-12-02-27.xlsm]PIV-Travel Mode for major trips'!$A$58:$A$63</c:f>
              <c:strCache>
                <c:ptCount val="6"/>
                <c:pt idx="0">
                  <c:v>Education</c:v>
                </c:pt>
                <c:pt idx="1">
                  <c:v>Accompany</c:v>
                </c:pt>
                <c:pt idx="2">
                  <c:v>Visiting</c:v>
                </c:pt>
                <c:pt idx="3">
                  <c:v>Recreation / Entertainment</c:v>
                </c:pt>
                <c:pt idx="4">
                  <c:v>Shopping</c:v>
                </c:pt>
                <c:pt idx="5">
                  <c:v>Work</c:v>
                </c:pt>
              </c:strCache>
            </c:strRef>
          </c:cat>
          <c:val>
            <c:numRef>
              <c:f>'[GH-HTS-focus on corridor-12-02-27.xlsm]PIV-Travel Mode for major trips'!$B$58:$B$63</c:f>
              <c:numCache>
                <c:formatCode>_-* #,##0_-;\-* #,##0_-;_-* "-"??_-;_-@_-</c:formatCode>
                <c:ptCount val="6"/>
                <c:pt idx="0">
                  <c:v>422.93047022189694</c:v>
                </c:pt>
                <c:pt idx="1">
                  <c:v>4180.4412083673724</c:v>
                </c:pt>
                <c:pt idx="2">
                  <c:v>2643.6079588804455</c:v>
                </c:pt>
                <c:pt idx="3">
                  <c:v>3734.6314506552962</c:v>
                </c:pt>
                <c:pt idx="4">
                  <c:v>7343.6038001812994</c:v>
                </c:pt>
                <c:pt idx="5">
                  <c:v>13850.520601850514</c:v>
                </c:pt>
              </c:numCache>
            </c:numRef>
          </c:val>
        </c:ser>
        <c:ser>
          <c:idx val="1"/>
          <c:order val="1"/>
          <c:tx>
            <c:strRef>
              <c:f>'[GH-HTS-focus on corridor-12-02-27.xlsm]PIV-Travel Mode for major trips'!$C$54</c:f>
              <c:strCache>
                <c:ptCount val="1"/>
                <c:pt idx="0">
                  <c:v>Car Passenger</c:v>
                </c:pt>
              </c:strCache>
            </c:strRef>
          </c:tx>
          <c:spPr>
            <a:solidFill>
              <a:schemeClr val="tx2">
                <a:lumMod val="40000"/>
                <a:lumOff val="60000"/>
              </a:schemeClr>
            </a:solidFill>
          </c:spPr>
          <c:dLbls>
            <c:dLbl>
              <c:idx val="0"/>
              <c:tx>
                <c:strRef>
                  <c:f>'[GH-HTS-focus on corridor-12-02-27.xlsm]PIV-Travel Mode for major trips'!$C$74</c:f>
                  <c:strCache>
                    <c:ptCount val="1"/>
                    <c:pt idx="0">
                      <c:v>40%</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1"/>
              <c:layout>
                <c:manualLayout>
                  <c:x val="-1.6347483131199495E-2"/>
                  <c:y val="8.5916190950124875E-17"/>
                </c:manualLayout>
              </c:layout>
              <c:tx>
                <c:strRef>
                  <c:f>'[GH-HTS-focus on corridor-12-02-27.xlsm]PIV-Travel Mode for major trips'!$C$75</c:f>
                  <c:strCache>
                    <c:ptCount val="1"/>
                    <c:pt idx="0">
                      <c:v>15%</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2"/>
              <c:layout>
                <c:manualLayout>
                  <c:x val="-8.1737415655997528E-3"/>
                  <c:y val="0"/>
                </c:manualLayout>
              </c:layout>
              <c:tx>
                <c:strRef>
                  <c:f>'[GH-HTS-focus on corridor-12-02-27.xlsm]PIV-Travel Mode for major trips'!$C$76</c:f>
                  <c:strCache>
                    <c:ptCount val="1"/>
                    <c:pt idx="0">
                      <c:v>24%</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3"/>
              <c:tx>
                <c:strRef>
                  <c:f>'[GH-HTS-focus on corridor-12-02-27.xlsm]PIV-Travel Mode for major trips'!$C$77</c:f>
                  <c:strCache>
                    <c:ptCount val="1"/>
                    <c:pt idx="0">
                      <c:v>20%</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4"/>
              <c:tx>
                <c:strRef>
                  <c:f>'[GH-HTS-focus on corridor-12-02-27.xlsm]PIV-Travel Mode for major trips'!$C$78</c:f>
                  <c:strCache>
                    <c:ptCount val="1"/>
                    <c:pt idx="0">
                      <c:v>19%</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5"/>
              <c:tx>
                <c:strRef>
                  <c:f>'[GH-HTS-focus on corridor-12-02-27.xlsm]PIV-Travel Mode for major trips'!$C$79</c:f>
                  <c:strCache>
                    <c:ptCount val="1"/>
                    <c:pt idx="0">
                      <c:v>7%</c:v>
                    </c:pt>
                  </c:strCache>
                </c:strRef>
              </c:tx>
              <c:spPr/>
              <c:txPr>
                <a:bodyPr/>
                <a:lstStyle/>
                <a:p>
                  <a:pPr>
                    <a:defRPr sz="800" b="0" i="0" strike="noStrike" baseline="0">
                      <a:latin typeface="Arial" pitchFamily="34" charset="0"/>
                      <a:cs typeface="Arial" pitchFamily="34" charset="0"/>
                    </a:defRPr>
                  </a:pPr>
                  <a:endParaRPr lang="en-US"/>
                </a:p>
              </c:txPr>
              <c:dLblPos val="ctr"/>
              <c:showVal val="1"/>
            </c:dLbl>
            <c:txPr>
              <a:bodyPr/>
              <a:lstStyle/>
              <a:p>
                <a:pPr>
                  <a:defRPr sz="800" baseline="0">
                    <a:latin typeface="Arial" pitchFamily="34" charset="0"/>
                    <a:cs typeface="Arial" pitchFamily="34" charset="0"/>
                  </a:defRPr>
                </a:pPr>
                <a:endParaRPr lang="en-US"/>
              </a:p>
            </c:txPr>
            <c:showVal val="1"/>
          </c:dLbls>
          <c:cat>
            <c:strRef>
              <c:f>'[GH-HTS-focus on corridor-12-02-27.xlsm]PIV-Travel Mode for major trips'!$A$58:$A$63</c:f>
              <c:strCache>
                <c:ptCount val="6"/>
                <c:pt idx="0">
                  <c:v>Education</c:v>
                </c:pt>
                <c:pt idx="1">
                  <c:v>Accompany</c:v>
                </c:pt>
                <c:pt idx="2">
                  <c:v>Visiting</c:v>
                </c:pt>
                <c:pt idx="3">
                  <c:v>Recreation / Entertainment</c:v>
                </c:pt>
                <c:pt idx="4">
                  <c:v>Shopping</c:v>
                </c:pt>
                <c:pt idx="5">
                  <c:v>Work</c:v>
                </c:pt>
              </c:strCache>
            </c:strRef>
          </c:cat>
          <c:val>
            <c:numRef>
              <c:f>'[GH-HTS-focus on corridor-12-02-27.xlsm]PIV-Travel Mode for major trips'!$C$58:$C$63</c:f>
              <c:numCache>
                <c:formatCode>_-* #,##0_-;\-* #,##0_-;_-* "-"??_-;_-@_-</c:formatCode>
                <c:ptCount val="6"/>
                <c:pt idx="0">
                  <c:v>2582.8146727582716</c:v>
                </c:pt>
                <c:pt idx="1">
                  <c:v>992.70219842463712</c:v>
                </c:pt>
                <c:pt idx="2">
                  <c:v>1234.6796158626751</c:v>
                </c:pt>
                <c:pt idx="3">
                  <c:v>2153.2055657906717</c:v>
                </c:pt>
                <c:pt idx="4">
                  <c:v>3250.1075501322293</c:v>
                </c:pt>
                <c:pt idx="5">
                  <c:v>1557.0864561139222</c:v>
                </c:pt>
              </c:numCache>
            </c:numRef>
          </c:val>
        </c:ser>
        <c:ser>
          <c:idx val="2"/>
          <c:order val="2"/>
          <c:tx>
            <c:strRef>
              <c:f>'[GH-HTS-focus on corridor-12-02-27.xlsm]PIV-Travel Mode for major trips'!$D$54</c:f>
              <c:strCache>
                <c:ptCount val="1"/>
                <c:pt idx="0">
                  <c:v>Public transport</c:v>
                </c:pt>
              </c:strCache>
            </c:strRef>
          </c:tx>
          <c:spPr>
            <a:solidFill>
              <a:schemeClr val="accent4"/>
            </a:solidFill>
          </c:spPr>
          <c:dLbls>
            <c:dLbl>
              <c:idx val="0"/>
              <c:tx>
                <c:strRef>
                  <c:f>'[GH-HTS-focus on corridor-12-02-27.xlsm]PIV-Travel Mode for major trips'!$D$74</c:f>
                  <c:strCache>
                    <c:ptCount val="1"/>
                    <c:pt idx="0">
                      <c:v>14%</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1"/>
              <c:tx>
                <c:strRef>
                  <c:f>'[GH-HTS-focus on corridor-12-02-27.xlsm]PIV-Travel Mode for major trips'!$D$75</c:f>
                  <c:strCache>
                    <c:ptCount val="1"/>
                    <c:pt idx="0">
                      <c:v>2%</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2"/>
              <c:tx>
                <c:strRef>
                  <c:f>'[GH-HTS-focus on corridor-12-02-27.xlsm]PIV-Travel Mode for major trips'!$D$76</c:f>
                  <c:strCache>
                    <c:ptCount val="1"/>
                    <c:pt idx="0">
                      <c:v>3%</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3"/>
              <c:tx>
                <c:strRef>
                  <c:f>'[GH-HTS-focus on corridor-12-02-27.xlsm]PIV-Travel Mode for major trips'!$D$77</c:f>
                  <c:strCache>
                    <c:ptCount val="1"/>
                    <c:pt idx="0">
                      <c:v>3%</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4"/>
              <c:tx>
                <c:strRef>
                  <c:f>'[GH-HTS-focus on corridor-12-02-27.xlsm]PIV-Travel Mode for major trips'!$D$78</c:f>
                  <c:strCache>
                    <c:ptCount val="1"/>
                    <c:pt idx="0">
                      <c:v>4%</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5"/>
              <c:tx>
                <c:strRef>
                  <c:f>'[GH-HTS-focus on corridor-12-02-27.xlsm]PIV-Travel Mode for major trips'!$D$79</c:f>
                  <c:strCache>
                    <c:ptCount val="1"/>
                    <c:pt idx="0">
                      <c:v>5%</c:v>
                    </c:pt>
                  </c:strCache>
                </c:strRef>
              </c:tx>
              <c:spPr/>
              <c:txPr>
                <a:bodyPr/>
                <a:lstStyle/>
                <a:p>
                  <a:pPr>
                    <a:defRPr sz="800" b="0" i="0" strike="noStrike" baseline="0">
                      <a:latin typeface="Arial" pitchFamily="34" charset="0"/>
                      <a:cs typeface="Arial" pitchFamily="34" charset="0"/>
                    </a:defRPr>
                  </a:pPr>
                  <a:endParaRPr lang="en-US"/>
                </a:p>
              </c:txPr>
              <c:dLblPos val="ctr"/>
              <c:showVal val="1"/>
            </c:dLbl>
            <c:txPr>
              <a:bodyPr/>
              <a:lstStyle/>
              <a:p>
                <a:pPr>
                  <a:defRPr sz="800" baseline="0">
                    <a:latin typeface="Arial" pitchFamily="34" charset="0"/>
                    <a:cs typeface="Arial" pitchFamily="34" charset="0"/>
                  </a:defRPr>
                </a:pPr>
                <a:endParaRPr lang="en-US"/>
              </a:p>
            </c:txPr>
            <c:showVal val="1"/>
          </c:dLbls>
          <c:cat>
            <c:strRef>
              <c:f>'[GH-HTS-focus on corridor-12-02-27.xlsm]PIV-Travel Mode for major trips'!$A$58:$A$63</c:f>
              <c:strCache>
                <c:ptCount val="6"/>
                <c:pt idx="0">
                  <c:v>Education</c:v>
                </c:pt>
                <c:pt idx="1">
                  <c:v>Accompany</c:v>
                </c:pt>
                <c:pt idx="2">
                  <c:v>Visiting</c:v>
                </c:pt>
                <c:pt idx="3">
                  <c:v>Recreation / Entertainment</c:v>
                </c:pt>
                <c:pt idx="4">
                  <c:v>Shopping</c:v>
                </c:pt>
                <c:pt idx="5">
                  <c:v>Work</c:v>
                </c:pt>
              </c:strCache>
            </c:strRef>
          </c:cat>
          <c:val>
            <c:numRef>
              <c:f>'[GH-HTS-focus on corridor-12-02-27.xlsm]PIV-Travel Mode for major trips'!$D$58:$D$63</c:f>
              <c:numCache>
                <c:formatCode>_-* #,##0_-;\-* #,##0_-;_-* "-"??_-;_-@_-</c:formatCode>
                <c:ptCount val="6"/>
                <c:pt idx="0">
                  <c:v>921.17731926923614</c:v>
                </c:pt>
                <c:pt idx="1">
                  <c:v>143.12549390162914</c:v>
                </c:pt>
                <c:pt idx="2">
                  <c:v>152.94099052129951</c:v>
                </c:pt>
                <c:pt idx="3">
                  <c:v>341.16834430529281</c:v>
                </c:pt>
                <c:pt idx="4">
                  <c:v>611.0617816752233</c:v>
                </c:pt>
                <c:pt idx="5">
                  <c:v>1139.6589068135418</c:v>
                </c:pt>
              </c:numCache>
            </c:numRef>
          </c:val>
        </c:ser>
        <c:ser>
          <c:idx val="3"/>
          <c:order val="3"/>
          <c:tx>
            <c:strRef>
              <c:f>'[GH-HTS-focus on corridor-12-02-27.xlsm]PIV-Travel Mode for major trips'!$E$54</c:f>
              <c:strCache>
                <c:ptCount val="1"/>
                <c:pt idx="0">
                  <c:v>Walking</c:v>
                </c:pt>
              </c:strCache>
            </c:strRef>
          </c:tx>
          <c:spPr>
            <a:solidFill>
              <a:schemeClr val="accent3"/>
            </a:solidFill>
          </c:spPr>
          <c:dLbls>
            <c:dLbl>
              <c:idx val="0"/>
              <c:tx>
                <c:strRef>
                  <c:f>'[GH-HTS-focus on corridor-12-02-27.xlsm]PIV-Travel Mode for major trips'!$E$74</c:f>
                  <c:strCache>
                    <c:ptCount val="1"/>
                    <c:pt idx="0">
                      <c:v>38%</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1"/>
              <c:layout>
                <c:manualLayout>
                  <c:x val="1.9072063653066143E-2"/>
                  <c:y val="8.5916190950124875E-17"/>
                </c:manualLayout>
              </c:layout>
              <c:tx>
                <c:strRef>
                  <c:f>'[GH-HTS-focus on corridor-12-02-27.xlsm]PIV-Travel Mode for major trips'!$E$75</c:f>
                  <c:strCache>
                    <c:ptCount val="1"/>
                    <c:pt idx="0">
                      <c:v>19%</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2"/>
              <c:layout>
                <c:manualLayout>
                  <c:x val="2.9970385740532398E-2"/>
                  <c:y val="0"/>
                </c:manualLayout>
              </c:layout>
              <c:tx>
                <c:strRef>
                  <c:f>'[GH-HTS-focus on corridor-12-02-27.xlsm]PIV-Travel Mode for major trips'!$E$76</c:f>
                  <c:strCache>
                    <c:ptCount val="1"/>
                    <c:pt idx="0">
                      <c:v>18%</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3"/>
              <c:tx>
                <c:strRef>
                  <c:f>'[GH-HTS-focus on corridor-12-02-27.xlsm]PIV-Travel Mode for major trips'!$E$77</c:f>
                  <c:strCache>
                    <c:ptCount val="1"/>
                    <c:pt idx="0">
                      <c:v>41%</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4"/>
              <c:tx>
                <c:strRef>
                  <c:f>'[GH-HTS-focus on corridor-12-02-27.xlsm]PIV-Travel Mode for major trips'!$E$78</c:f>
                  <c:strCache>
                    <c:ptCount val="1"/>
                    <c:pt idx="0">
                      <c:v>34%</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5"/>
              <c:tx>
                <c:strRef>
                  <c:f>'[GH-HTS-focus on corridor-12-02-27.xlsm]PIV-Travel Mode for major trips'!$E$79</c:f>
                  <c:strCache>
                    <c:ptCount val="1"/>
                    <c:pt idx="0">
                      <c:v>25%</c:v>
                    </c:pt>
                  </c:strCache>
                </c:strRef>
              </c:tx>
              <c:spPr/>
              <c:txPr>
                <a:bodyPr/>
                <a:lstStyle/>
                <a:p>
                  <a:pPr>
                    <a:defRPr sz="800" b="0" i="0" strike="noStrike" baseline="0">
                      <a:latin typeface="Arial" pitchFamily="34" charset="0"/>
                      <a:cs typeface="Arial" pitchFamily="34" charset="0"/>
                    </a:defRPr>
                  </a:pPr>
                  <a:endParaRPr lang="en-US"/>
                </a:p>
              </c:txPr>
              <c:dLblPos val="ctr"/>
              <c:showVal val="1"/>
            </c:dLbl>
            <c:txPr>
              <a:bodyPr/>
              <a:lstStyle/>
              <a:p>
                <a:pPr>
                  <a:defRPr sz="800" baseline="0">
                    <a:latin typeface="Arial" pitchFamily="34" charset="0"/>
                    <a:cs typeface="Arial" pitchFamily="34" charset="0"/>
                  </a:defRPr>
                </a:pPr>
                <a:endParaRPr lang="en-US"/>
              </a:p>
            </c:txPr>
            <c:showVal val="1"/>
          </c:dLbls>
          <c:cat>
            <c:strRef>
              <c:f>'[GH-HTS-focus on corridor-12-02-27.xlsm]PIV-Travel Mode for major trips'!$A$58:$A$63</c:f>
              <c:strCache>
                <c:ptCount val="6"/>
                <c:pt idx="0">
                  <c:v>Education</c:v>
                </c:pt>
                <c:pt idx="1">
                  <c:v>Accompany</c:v>
                </c:pt>
                <c:pt idx="2">
                  <c:v>Visiting</c:v>
                </c:pt>
                <c:pt idx="3">
                  <c:v>Recreation / Entertainment</c:v>
                </c:pt>
                <c:pt idx="4">
                  <c:v>Shopping</c:v>
                </c:pt>
                <c:pt idx="5">
                  <c:v>Work</c:v>
                </c:pt>
              </c:strCache>
            </c:strRef>
          </c:cat>
          <c:val>
            <c:numRef>
              <c:f>'[GH-HTS-focus on corridor-12-02-27.xlsm]PIV-Travel Mode for major trips'!$E$58:$E$63</c:f>
              <c:numCache>
                <c:formatCode>_-* #,##0_-;\-* #,##0_-;_-* "-"??_-;_-@_-</c:formatCode>
                <c:ptCount val="6"/>
                <c:pt idx="0">
                  <c:v>2466.4014032447335</c:v>
                </c:pt>
                <c:pt idx="1">
                  <c:v>1256.0737113911409</c:v>
                </c:pt>
                <c:pt idx="2">
                  <c:v>912.0202938788965</c:v>
                </c:pt>
                <c:pt idx="3">
                  <c:v>4459.4463857554838</c:v>
                </c:pt>
                <c:pt idx="4">
                  <c:v>5870.3739350287215</c:v>
                </c:pt>
                <c:pt idx="5">
                  <c:v>5881.9328905084931</c:v>
                </c:pt>
              </c:numCache>
            </c:numRef>
          </c:val>
        </c:ser>
        <c:ser>
          <c:idx val="4"/>
          <c:order val="4"/>
          <c:tx>
            <c:strRef>
              <c:f>'[GH-HTS-focus on corridor-12-02-27.xlsm]PIV-Travel Mode for major trips'!$F$54</c:f>
              <c:strCache>
                <c:ptCount val="1"/>
                <c:pt idx="0">
                  <c:v>Other</c:v>
                </c:pt>
              </c:strCache>
            </c:strRef>
          </c:tx>
          <c:spPr>
            <a:solidFill>
              <a:schemeClr val="accent6"/>
            </a:solidFill>
          </c:spPr>
          <c:dLbls>
            <c:dLbl>
              <c:idx val="0"/>
              <c:tx>
                <c:strRef>
                  <c:f>'[GH-HTS-focus on corridor-12-02-27.xlsm]PIV-Travel Mode for major trips'!$F$74</c:f>
                  <c:strCache>
                    <c:ptCount val="1"/>
                    <c:pt idx="0">
                      <c:v>1%</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1"/>
              <c:tx>
                <c:strRef>
                  <c:f>'[GH-HTS-focus on corridor-12-02-27.xlsm]PIV-Travel Mode for major trips'!$F$75</c:f>
                  <c:strCache>
                    <c:ptCount val="1"/>
                    <c:pt idx="0">
                      <c:v>1%</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2"/>
              <c:tx>
                <c:strRef>
                  <c:f>'[GH-HTS-focus on corridor-12-02-27.xlsm]PIV-Travel Mode for major trips'!$F$76</c:f>
                  <c:strCache>
                    <c:ptCount val="1"/>
                    <c:pt idx="0">
                      <c:v>2%</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3"/>
              <c:tx>
                <c:strRef>
                  <c:f>'[GH-HTS-focus on corridor-12-02-27.xlsm]PIV-Travel Mode for major trips'!$F$77</c:f>
                  <c:strCache>
                    <c:ptCount val="1"/>
                    <c:pt idx="0">
                      <c:v>2%</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4"/>
              <c:tx>
                <c:strRef>
                  <c:f>'[GH-HTS-focus on corridor-12-02-27.xlsm]PIV-Travel Mode for major trips'!$F$78</c:f>
                  <c:strCache>
                    <c:ptCount val="1"/>
                    <c:pt idx="0">
                      <c:v>0%</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5"/>
              <c:tx>
                <c:strRef>
                  <c:f>'[GH-HTS-focus on corridor-12-02-27.xlsm]PIV-Travel Mode for major trips'!$F$79</c:f>
                  <c:strCache>
                    <c:ptCount val="1"/>
                    <c:pt idx="0">
                      <c:v>3%</c:v>
                    </c:pt>
                  </c:strCache>
                </c:strRef>
              </c:tx>
              <c:spPr/>
              <c:txPr>
                <a:bodyPr/>
                <a:lstStyle/>
                <a:p>
                  <a:pPr>
                    <a:defRPr sz="800" b="0" i="0" strike="noStrike" baseline="0">
                      <a:latin typeface="Arial" pitchFamily="34" charset="0"/>
                      <a:cs typeface="Arial" pitchFamily="34" charset="0"/>
                    </a:defRPr>
                  </a:pPr>
                  <a:endParaRPr lang="en-US"/>
                </a:p>
              </c:txPr>
              <c:dLblPos val="ctr"/>
              <c:showVal val="1"/>
            </c:dLbl>
            <c:txPr>
              <a:bodyPr/>
              <a:lstStyle/>
              <a:p>
                <a:pPr>
                  <a:defRPr sz="800" baseline="0">
                    <a:latin typeface="Arial" pitchFamily="34" charset="0"/>
                    <a:cs typeface="Arial" pitchFamily="34" charset="0"/>
                  </a:defRPr>
                </a:pPr>
                <a:endParaRPr lang="en-US"/>
              </a:p>
            </c:txPr>
            <c:showVal val="1"/>
          </c:dLbls>
          <c:cat>
            <c:strRef>
              <c:f>'[GH-HTS-focus on corridor-12-02-27.xlsm]PIV-Travel Mode for major trips'!$A$58:$A$63</c:f>
              <c:strCache>
                <c:ptCount val="6"/>
                <c:pt idx="0">
                  <c:v>Education</c:v>
                </c:pt>
                <c:pt idx="1">
                  <c:v>Accompany</c:v>
                </c:pt>
                <c:pt idx="2">
                  <c:v>Visiting</c:v>
                </c:pt>
                <c:pt idx="3">
                  <c:v>Recreation / Entertainment</c:v>
                </c:pt>
                <c:pt idx="4">
                  <c:v>Shopping</c:v>
                </c:pt>
                <c:pt idx="5">
                  <c:v>Work</c:v>
                </c:pt>
              </c:strCache>
            </c:strRef>
          </c:cat>
          <c:val>
            <c:numRef>
              <c:f>'[GH-HTS-focus on corridor-12-02-27.xlsm]PIV-Travel Mode for major trips'!$F$58:$F$63</c:f>
              <c:numCache>
                <c:formatCode>_-* #,##0_-;\-* #,##0_-;_-* "-"??_-;_-@_-</c:formatCode>
                <c:ptCount val="6"/>
                <c:pt idx="0">
                  <c:v>47.926339006909409</c:v>
                </c:pt>
                <c:pt idx="1">
                  <c:v>66.559415488395771</c:v>
                </c:pt>
                <c:pt idx="2">
                  <c:v>118.77094035420255</c:v>
                </c:pt>
                <c:pt idx="3">
                  <c:v>163.75161400389368</c:v>
                </c:pt>
                <c:pt idx="4">
                  <c:v>77.042959321315237</c:v>
                </c:pt>
                <c:pt idx="5">
                  <c:v>660.3435731197626</c:v>
                </c:pt>
              </c:numCache>
            </c:numRef>
          </c:val>
        </c:ser>
        <c:gapWidth val="20"/>
        <c:overlap val="100"/>
        <c:axId val="137235072"/>
        <c:axId val="138391936"/>
      </c:barChart>
      <c:catAx>
        <c:axId val="137235072"/>
        <c:scaling>
          <c:orientation val="minMax"/>
        </c:scaling>
        <c:axPos val="l"/>
        <c:tickLblPos val="nextTo"/>
        <c:txPr>
          <a:bodyPr/>
          <a:lstStyle/>
          <a:p>
            <a:pPr>
              <a:defRPr sz="1000" baseline="0">
                <a:latin typeface="Arial" pitchFamily="34" charset="0"/>
                <a:cs typeface="Arial" pitchFamily="34" charset="0"/>
              </a:defRPr>
            </a:pPr>
            <a:endParaRPr lang="en-US"/>
          </a:p>
        </c:txPr>
        <c:crossAx val="138391936"/>
        <c:crosses val="autoZero"/>
        <c:auto val="1"/>
        <c:lblAlgn val="ctr"/>
        <c:lblOffset val="100"/>
      </c:catAx>
      <c:valAx>
        <c:axId val="138391936"/>
        <c:scaling>
          <c:orientation val="minMax"/>
        </c:scaling>
        <c:axPos val="b"/>
        <c:majorGridlines/>
        <c:numFmt formatCode="0%" sourceLinked="1"/>
        <c:tickLblPos val="nextTo"/>
        <c:txPr>
          <a:bodyPr/>
          <a:lstStyle/>
          <a:p>
            <a:pPr>
              <a:defRPr sz="1000"/>
            </a:pPr>
            <a:endParaRPr lang="en-US"/>
          </a:p>
        </c:txPr>
        <c:crossAx val="137235072"/>
        <c:crosses val="autoZero"/>
        <c:crossBetween val="between"/>
        <c:dispUnits>
          <c:builtInUnit val="thousands"/>
          <c:dispUnitsLbl>
            <c:layout>
              <c:manualLayout>
                <c:xMode val="edge"/>
                <c:yMode val="edge"/>
                <c:x val="0.79585429671018615"/>
                <c:y val="0.92034703995333922"/>
              </c:manualLayout>
            </c:layout>
            <c:tx>
              <c:rich>
                <a:bodyPr/>
                <a:lstStyle/>
                <a:p>
                  <a:pPr>
                    <a:defRPr/>
                  </a:pPr>
                  <a:r>
                    <a:rPr lang="en-AU"/>
                    <a:t>Trips ('000)</a:t>
                  </a:r>
                </a:p>
              </c:rich>
            </c:tx>
          </c:dispUnitsLbl>
        </c:dispUnits>
      </c:valAx>
    </c:plotArea>
    <c:legend>
      <c:legendPos val="t"/>
      <c:layout>
        <c:manualLayout>
          <c:xMode val="edge"/>
          <c:yMode val="edge"/>
          <c:x val="4.1656199222788154E-2"/>
          <c:y val="0.10185185185185186"/>
          <c:w val="0.89999993563981928"/>
          <c:h val="8.4743617466440629E-2"/>
        </c:manualLayout>
      </c:layout>
      <c:txPr>
        <a:bodyPr/>
        <a:lstStyle/>
        <a:p>
          <a:pPr>
            <a:defRPr>
              <a:latin typeface="Arial" pitchFamily="34" charset="0"/>
              <a:cs typeface="Arial" pitchFamily="34"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9671810068993681"/>
          <c:y val="0.18936533974919947"/>
          <c:w val="0.74115303406626398"/>
          <c:h val="0.63153324584426596"/>
        </c:manualLayout>
      </c:layout>
      <c:barChart>
        <c:barDir val="bar"/>
        <c:grouping val="percentStacked"/>
        <c:ser>
          <c:idx val="0"/>
          <c:order val="0"/>
          <c:tx>
            <c:strRef>
              <c:f>'[GH-HTS-focus on corridor-12-02-27.xlsm]PIV-Travel Mode for major trips'!$K$54</c:f>
              <c:strCache>
                <c:ptCount val="1"/>
                <c:pt idx="0">
                  <c:v>Car Driver </c:v>
                </c:pt>
              </c:strCache>
            </c:strRef>
          </c:tx>
          <c:dLbls>
            <c:dLbl>
              <c:idx val="0"/>
              <c:layout>
                <c:manualLayout>
                  <c:x val="-1.3932768577152735E-2"/>
                  <c:y val="0"/>
                </c:manualLayout>
              </c:layout>
              <c:tx>
                <c:strRef>
                  <c:f>'[GH-HTS-focus on corridor-12-02-27.xlsm]PIV-Travel Mode for major trips'!$K$74</c:f>
                  <c:strCache>
                    <c:ptCount val="1"/>
                    <c:pt idx="0">
                      <c:v>7%</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1"/>
              <c:tx>
                <c:strRef>
                  <c:f>'[GH-HTS-focus on corridor-12-02-27.xlsm]PIV-Travel Mode for major trips'!$K$75</c:f>
                  <c:strCache>
                    <c:ptCount val="1"/>
                    <c:pt idx="0">
                      <c:v>70%</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2"/>
              <c:tx>
                <c:strRef>
                  <c:f>'[GH-HTS-focus on corridor-12-02-27.xlsm]PIV-Travel Mode for major trips'!$K$76</c:f>
                  <c:strCache>
                    <c:ptCount val="1"/>
                    <c:pt idx="0">
                      <c:v>57%</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3"/>
              <c:tx>
                <c:strRef>
                  <c:f>'[GH-HTS-focus on corridor-12-02-27.xlsm]PIV-Travel Mode for major trips'!$K$77</c:f>
                  <c:strCache>
                    <c:ptCount val="1"/>
                    <c:pt idx="0">
                      <c:v>31%</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4"/>
              <c:tx>
                <c:strRef>
                  <c:f>'[GH-HTS-focus on corridor-12-02-27.xlsm]PIV-Travel Mode for major trips'!$K$78</c:f>
                  <c:strCache>
                    <c:ptCount val="1"/>
                    <c:pt idx="0">
                      <c:v>38%</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5"/>
              <c:tx>
                <c:strRef>
                  <c:f>'[GH-HTS-focus on corridor-12-02-27.xlsm]PIV-Travel Mode for major trips'!$K$79</c:f>
                  <c:strCache>
                    <c:ptCount val="1"/>
                    <c:pt idx="0">
                      <c:v>47%</c:v>
                    </c:pt>
                  </c:strCache>
                </c:strRef>
              </c:tx>
              <c:spPr/>
              <c:txPr>
                <a:bodyPr/>
                <a:lstStyle/>
                <a:p>
                  <a:pPr>
                    <a:defRPr sz="800" b="0" i="0" strike="noStrike" baseline="0">
                      <a:latin typeface="Arial" pitchFamily="34" charset="0"/>
                      <a:cs typeface="Arial" pitchFamily="34" charset="0"/>
                    </a:defRPr>
                  </a:pPr>
                  <a:endParaRPr lang="en-US"/>
                </a:p>
              </c:txPr>
              <c:dLblPos val="ctr"/>
              <c:showVal val="1"/>
            </c:dLbl>
            <c:txPr>
              <a:bodyPr/>
              <a:lstStyle/>
              <a:p>
                <a:pPr>
                  <a:defRPr sz="800" baseline="0">
                    <a:latin typeface="Arial" pitchFamily="34" charset="0"/>
                    <a:cs typeface="Arial" pitchFamily="34" charset="0"/>
                  </a:defRPr>
                </a:pPr>
                <a:endParaRPr lang="en-US"/>
              </a:p>
            </c:txPr>
            <c:showVal val="1"/>
          </c:dLbls>
          <c:cat>
            <c:strRef>
              <c:f>'[GH-HTS-focus on corridor-12-02-27.xlsm]PIV-Travel Mode for major trips'!$J$58:$J$63</c:f>
              <c:strCache>
                <c:ptCount val="6"/>
                <c:pt idx="0">
                  <c:v>Education</c:v>
                </c:pt>
                <c:pt idx="1">
                  <c:v>Accompany</c:v>
                </c:pt>
                <c:pt idx="2">
                  <c:v>Visiting</c:v>
                </c:pt>
                <c:pt idx="3">
                  <c:v>Recreation / Entertainment</c:v>
                </c:pt>
                <c:pt idx="4">
                  <c:v>Shopping</c:v>
                </c:pt>
                <c:pt idx="5">
                  <c:v>Work</c:v>
                </c:pt>
              </c:strCache>
            </c:strRef>
          </c:cat>
          <c:val>
            <c:numRef>
              <c:f>'[GH-HTS-focus on corridor-12-02-27.xlsm]PIV-Travel Mode for major trips'!$K$58:$K$63</c:f>
              <c:numCache>
                <c:formatCode>_-* #,##0_-;\-* #,##0_-;_-* "-"??_-;_-@_-</c:formatCode>
                <c:ptCount val="6"/>
                <c:pt idx="0">
                  <c:v>420.6657461343496</c:v>
                </c:pt>
                <c:pt idx="1">
                  <c:v>4573.4590550217417</c:v>
                </c:pt>
                <c:pt idx="2">
                  <c:v>4430.8450011812301</c:v>
                </c:pt>
                <c:pt idx="3">
                  <c:v>6555.0979054253548</c:v>
                </c:pt>
                <c:pt idx="4">
                  <c:v>7646.9416128711482</c:v>
                </c:pt>
                <c:pt idx="5">
                  <c:v>14893.468944543571</c:v>
                </c:pt>
              </c:numCache>
            </c:numRef>
          </c:val>
        </c:ser>
        <c:ser>
          <c:idx val="1"/>
          <c:order val="1"/>
          <c:tx>
            <c:strRef>
              <c:f>'[GH-HTS-focus on corridor-12-02-27.xlsm]PIV-Travel Mode for major trips'!$L$54</c:f>
              <c:strCache>
                <c:ptCount val="1"/>
                <c:pt idx="0">
                  <c:v>Car Passenger</c:v>
                </c:pt>
              </c:strCache>
            </c:strRef>
          </c:tx>
          <c:spPr>
            <a:solidFill>
              <a:schemeClr val="tx2">
                <a:lumMod val="40000"/>
                <a:lumOff val="60000"/>
              </a:schemeClr>
            </a:solidFill>
          </c:spPr>
          <c:dLbls>
            <c:dLbl>
              <c:idx val="0"/>
              <c:tx>
                <c:strRef>
                  <c:f>'[GH-HTS-focus on corridor-12-02-27.xlsm]PIV-Travel Mode for major trips'!$L$74</c:f>
                  <c:strCache>
                    <c:ptCount val="1"/>
                    <c:pt idx="0">
                      <c:v>22%</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1"/>
              <c:layout>
                <c:manualLayout>
                  <c:x val="-8.3596611462916567E-3"/>
                  <c:y val="0"/>
                </c:manualLayout>
              </c:layout>
              <c:tx>
                <c:strRef>
                  <c:f>'[GH-HTS-focus on corridor-12-02-27.xlsm]PIV-Travel Mode for major trips'!$L$75</c:f>
                  <c:strCache>
                    <c:ptCount val="1"/>
                    <c:pt idx="0">
                      <c:v>18%</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2"/>
              <c:layout>
                <c:manualLayout>
                  <c:x val="-1.393276857715276E-2"/>
                  <c:y val="0"/>
                </c:manualLayout>
              </c:layout>
              <c:tx>
                <c:strRef>
                  <c:f>'[GH-HTS-focus on corridor-12-02-27.xlsm]PIV-Travel Mode for major trips'!$L$76</c:f>
                  <c:strCache>
                    <c:ptCount val="1"/>
                    <c:pt idx="0">
                      <c:v>20%</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3"/>
              <c:tx>
                <c:strRef>
                  <c:f>'[GH-HTS-focus on corridor-12-02-27.xlsm]PIV-Travel Mode for major trips'!$L$77</c:f>
                  <c:strCache>
                    <c:ptCount val="1"/>
                    <c:pt idx="0">
                      <c:v>18%</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4"/>
              <c:tx>
                <c:strRef>
                  <c:f>'[GH-HTS-focus on corridor-12-02-27.xlsm]PIV-Travel Mode for major trips'!$L$78</c:f>
                  <c:strCache>
                    <c:ptCount val="1"/>
                    <c:pt idx="0">
                      <c:v>13%</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5"/>
              <c:tx>
                <c:strRef>
                  <c:f>'[GH-HTS-focus on corridor-12-02-27.xlsm]PIV-Travel Mode for major trips'!$L$79</c:f>
                  <c:strCache>
                    <c:ptCount val="1"/>
                    <c:pt idx="0">
                      <c:v>6%</c:v>
                    </c:pt>
                  </c:strCache>
                </c:strRef>
              </c:tx>
              <c:spPr/>
              <c:txPr>
                <a:bodyPr/>
                <a:lstStyle/>
                <a:p>
                  <a:pPr>
                    <a:defRPr sz="800" b="0" i="0" strike="noStrike" baseline="0">
                      <a:latin typeface="Arial" pitchFamily="34" charset="0"/>
                      <a:cs typeface="Arial" pitchFamily="34" charset="0"/>
                    </a:defRPr>
                  </a:pPr>
                  <a:endParaRPr lang="en-US"/>
                </a:p>
              </c:txPr>
              <c:dLblPos val="ctr"/>
              <c:showVal val="1"/>
            </c:dLbl>
            <c:txPr>
              <a:bodyPr/>
              <a:lstStyle/>
              <a:p>
                <a:pPr>
                  <a:defRPr sz="800" baseline="0">
                    <a:latin typeface="Arial" pitchFamily="34" charset="0"/>
                    <a:cs typeface="Arial" pitchFamily="34" charset="0"/>
                  </a:defRPr>
                </a:pPr>
                <a:endParaRPr lang="en-US"/>
              </a:p>
            </c:txPr>
            <c:showVal val="1"/>
          </c:dLbls>
          <c:cat>
            <c:strRef>
              <c:f>'[GH-HTS-focus on corridor-12-02-27.xlsm]PIV-Travel Mode for major trips'!$J$58:$J$63</c:f>
              <c:strCache>
                <c:ptCount val="6"/>
                <c:pt idx="0">
                  <c:v>Education</c:v>
                </c:pt>
                <c:pt idx="1">
                  <c:v>Accompany</c:v>
                </c:pt>
                <c:pt idx="2">
                  <c:v>Visiting</c:v>
                </c:pt>
                <c:pt idx="3">
                  <c:v>Recreation / Entertainment</c:v>
                </c:pt>
                <c:pt idx="4">
                  <c:v>Shopping</c:v>
                </c:pt>
                <c:pt idx="5">
                  <c:v>Work</c:v>
                </c:pt>
              </c:strCache>
            </c:strRef>
          </c:cat>
          <c:val>
            <c:numRef>
              <c:f>'[GH-HTS-focus on corridor-12-02-27.xlsm]PIV-Travel Mode for major trips'!$L$58:$L$63</c:f>
              <c:numCache>
                <c:formatCode>_-* #,##0_-;\-* #,##0_-;_-* "-"??_-;_-@_-</c:formatCode>
                <c:ptCount val="6"/>
                <c:pt idx="0">
                  <c:v>1353.5184004932521</c:v>
                </c:pt>
                <c:pt idx="1">
                  <c:v>1161.9129100803527</c:v>
                </c:pt>
                <c:pt idx="2">
                  <c:v>1562.4780057698081</c:v>
                </c:pt>
                <c:pt idx="3">
                  <c:v>3693.0233700142903</c:v>
                </c:pt>
                <c:pt idx="4">
                  <c:v>2583.767565862272</c:v>
                </c:pt>
                <c:pt idx="5">
                  <c:v>1934.9464534722129</c:v>
                </c:pt>
              </c:numCache>
            </c:numRef>
          </c:val>
        </c:ser>
        <c:ser>
          <c:idx val="2"/>
          <c:order val="2"/>
          <c:tx>
            <c:strRef>
              <c:f>'[GH-HTS-focus on corridor-12-02-27.xlsm]PIV-Travel Mode for major trips'!$M$54</c:f>
              <c:strCache>
                <c:ptCount val="1"/>
                <c:pt idx="0">
                  <c:v>Public transport</c:v>
                </c:pt>
              </c:strCache>
            </c:strRef>
          </c:tx>
          <c:spPr>
            <a:solidFill>
              <a:schemeClr val="accent4"/>
            </a:solidFill>
          </c:spPr>
          <c:dLbls>
            <c:dLbl>
              <c:idx val="0"/>
              <c:layout>
                <c:manualLayout>
                  <c:x val="1.6719322292583341E-2"/>
                  <c:y val="0"/>
                </c:manualLayout>
              </c:layout>
              <c:tx>
                <c:strRef>
                  <c:f>'[GH-HTS-focus on corridor-12-02-27.xlsm]PIV-Travel Mode for major trips'!$M$74</c:f>
                  <c:strCache>
                    <c:ptCount val="1"/>
                    <c:pt idx="0">
                      <c:v>14%</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1"/>
              <c:tx>
                <c:strRef>
                  <c:f>'[GH-HTS-focus on corridor-12-02-27.xlsm]PIV-Travel Mode for major trips'!$M$75</c:f>
                  <c:strCache>
                    <c:ptCount val="1"/>
                    <c:pt idx="0">
                      <c:v>0%</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2"/>
              <c:tx>
                <c:strRef>
                  <c:f>'[GH-HTS-focus on corridor-12-02-27.xlsm]PIV-Travel Mode for major trips'!$M$76</c:f>
                  <c:strCache>
                    <c:ptCount val="1"/>
                    <c:pt idx="0">
                      <c:v>2%</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3"/>
              <c:tx>
                <c:strRef>
                  <c:f>'[GH-HTS-focus on corridor-12-02-27.xlsm]PIV-Travel Mode for major trips'!$M$77</c:f>
                  <c:strCache>
                    <c:ptCount val="1"/>
                    <c:pt idx="0">
                      <c:v>1%</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4"/>
              <c:tx>
                <c:strRef>
                  <c:f>'[GH-HTS-focus on corridor-12-02-27.xlsm]PIV-Travel Mode for major trips'!$M$78</c:f>
                  <c:strCache>
                    <c:ptCount val="1"/>
                    <c:pt idx="0">
                      <c:v>1%</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5"/>
              <c:tx>
                <c:strRef>
                  <c:f>'[GH-HTS-focus on corridor-12-02-27.xlsm]PIV-Travel Mode for major trips'!$M$79</c:f>
                  <c:strCache>
                    <c:ptCount val="1"/>
                    <c:pt idx="0">
                      <c:v>5%</c:v>
                    </c:pt>
                  </c:strCache>
                </c:strRef>
              </c:tx>
              <c:spPr/>
              <c:txPr>
                <a:bodyPr/>
                <a:lstStyle/>
                <a:p>
                  <a:pPr>
                    <a:defRPr sz="800" b="0" i="0" strike="noStrike" baseline="0">
                      <a:latin typeface="Arial" pitchFamily="34" charset="0"/>
                      <a:cs typeface="Arial" pitchFamily="34" charset="0"/>
                    </a:defRPr>
                  </a:pPr>
                  <a:endParaRPr lang="en-US"/>
                </a:p>
              </c:txPr>
              <c:dLblPos val="ctr"/>
              <c:showVal val="1"/>
            </c:dLbl>
            <c:txPr>
              <a:bodyPr/>
              <a:lstStyle/>
              <a:p>
                <a:pPr>
                  <a:defRPr sz="800" baseline="0">
                    <a:latin typeface="Arial" pitchFamily="34" charset="0"/>
                    <a:cs typeface="Arial" pitchFamily="34" charset="0"/>
                  </a:defRPr>
                </a:pPr>
                <a:endParaRPr lang="en-US"/>
              </a:p>
            </c:txPr>
            <c:showVal val="1"/>
          </c:dLbls>
          <c:cat>
            <c:strRef>
              <c:f>'[GH-HTS-focus on corridor-12-02-27.xlsm]PIV-Travel Mode for major trips'!$J$58:$J$63</c:f>
              <c:strCache>
                <c:ptCount val="6"/>
                <c:pt idx="0">
                  <c:v>Education</c:v>
                </c:pt>
                <c:pt idx="1">
                  <c:v>Accompany</c:v>
                </c:pt>
                <c:pt idx="2">
                  <c:v>Visiting</c:v>
                </c:pt>
                <c:pt idx="3">
                  <c:v>Recreation / Entertainment</c:v>
                </c:pt>
                <c:pt idx="4">
                  <c:v>Shopping</c:v>
                </c:pt>
                <c:pt idx="5">
                  <c:v>Work</c:v>
                </c:pt>
              </c:strCache>
            </c:strRef>
          </c:cat>
          <c:val>
            <c:numRef>
              <c:f>'[GH-HTS-focus on corridor-12-02-27.xlsm]PIV-Travel Mode for major trips'!$M$58:$M$63</c:f>
              <c:numCache>
                <c:formatCode>_-* #,##0_-;\-* #,##0_-;_-* "-"??_-;_-@_-</c:formatCode>
                <c:ptCount val="6"/>
                <c:pt idx="0">
                  <c:v>844.33460774373032</c:v>
                </c:pt>
                <c:pt idx="1">
                  <c:v>0</c:v>
                </c:pt>
                <c:pt idx="2">
                  <c:v>151.67111336862834</c:v>
                </c:pt>
                <c:pt idx="3">
                  <c:v>142.02570031056499</c:v>
                </c:pt>
                <c:pt idx="4">
                  <c:v>221.98262175864332</c:v>
                </c:pt>
                <c:pt idx="5">
                  <c:v>1476.6476284795729</c:v>
                </c:pt>
              </c:numCache>
            </c:numRef>
          </c:val>
        </c:ser>
        <c:ser>
          <c:idx val="3"/>
          <c:order val="3"/>
          <c:tx>
            <c:strRef>
              <c:f>'[GH-HTS-focus on corridor-12-02-27.xlsm]PIV-Travel Mode for major trips'!$N$54</c:f>
              <c:strCache>
                <c:ptCount val="1"/>
                <c:pt idx="0">
                  <c:v>Walking</c:v>
                </c:pt>
              </c:strCache>
            </c:strRef>
          </c:tx>
          <c:spPr>
            <a:solidFill>
              <a:schemeClr val="accent3"/>
            </a:solidFill>
          </c:spPr>
          <c:dLbls>
            <c:dLbl>
              <c:idx val="0"/>
              <c:layout>
                <c:manualLayout>
                  <c:x val="1.393276857715276E-2"/>
                  <c:y val="0"/>
                </c:manualLayout>
              </c:layout>
              <c:tx>
                <c:strRef>
                  <c:f>'[GH-HTS-focus on corridor-12-02-27.xlsm]PIV-Travel Mode for major trips'!$N$74</c:f>
                  <c:strCache>
                    <c:ptCount val="1"/>
                    <c:pt idx="0">
                      <c:v>54%</c:v>
                    </c:pt>
                  </c:strCache>
                </c:strRef>
              </c:tx>
              <c:spPr/>
              <c:txPr>
                <a:bodyPr/>
                <a:lstStyle/>
                <a:p>
                  <a:pPr>
                    <a:defRPr sz="1000" b="0" i="0" strike="noStrike" baseline="0">
                      <a:latin typeface="Arial" pitchFamily="34" charset="0"/>
                      <a:cs typeface="Arial" pitchFamily="34" charset="0"/>
                    </a:defRPr>
                  </a:pPr>
                  <a:endParaRPr lang="en-US"/>
                </a:p>
              </c:txPr>
              <c:dLblPos val="ctr"/>
              <c:showVal val="1"/>
            </c:dLbl>
            <c:dLbl>
              <c:idx val="1"/>
              <c:layout>
                <c:manualLayout>
                  <c:x val="2.2292429723444418E-2"/>
                  <c:y val="0"/>
                </c:manualLayout>
              </c:layout>
              <c:tx>
                <c:strRef>
                  <c:f>'[GH-HTS-focus on corridor-12-02-27.xlsm]PIV-Travel Mode for major trips'!$N$75</c:f>
                  <c:strCache>
                    <c:ptCount val="1"/>
                    <c:pt idx="0">
                      <c:v>12%</c:v>
                    </c:pt>
                  </c:strCache>
                </c:strRef>
              </c:tx>
              <c:spPr/>
              <c:txPr>
                <a:bodyPr/>
                <a:lstStyle/>
                <a:p>
                  <a:pPr>
                    <a:defRPr sz="1000" b="0" i="0" strike="noStrike" baseline="0">
                      <a:latin typeface="Arial" pitchFamily="34" charset="0"/>
                      <a:cs typeface="Arial" pitchFamily="34" charset="0"/>
                    </a:defRPr>
                  </a:pPr>
                  <a:endParaRPr lang="en-US"/>
                </a:p>
              </c:txPr>
              <c:dLblPos val="ctr"/>
              <c:showVal val="1"/>
            </c:dLbl>
            <c:dLbl>
              <c:idx val="2"/>
              <c:layout>
                <c:manualLayout>
                  <c:x val="1.6719322292583341E-2"/>
                  <c:y val="0"/>
                </c:manualLayout>
              </c:layout>
              <c:tx>
                <c:strRef>
                  <c:f>'[GH-HTS-focus on corridor-12-02-27.xlsm]PIV-Travel Mode for major trips'!$N$76</c:f>
                  <c:strCache>
                    <c:ptCount val="1"/>
                    <c:pt idx="0">
                      <c:v>21%</c:v>
                    </c:pt>
                  </c:strCache>
                </c:strRef>
              </c:tx>
              <c:spPr/>
              <c:txPr>
                <a:bodyPr/>
                <a:lstStyle/>
                <a:p>
                  <a:pPr>
                    <a:defRPr sz="1000" b="0" i="0" strike="noStrike" baseline="0">
                      <a:latin typeface="Arial" pitchFamily="34" charset="0"/>
                      <a:cs typeface="Arial" pitchFamily="34" charset="0"/>
                    </a:defRPr>
                  </a:pPr>
                  <a:endParaRPr lang="en-US"/>
                </a:p>
              </c:txPr>
              <c:dLblPos val="ctr"/>
              <c:showVal val="1"/>
            </c:dLbl>
            <c:dLbl>
              <c:idx val="3"/>
              <c:tx>
                <c:strRef>
                  <c:f>'[GH-HTS-focus on corridor-12-02-27.xlsm]PIV-Travel Mode for major trips'!$N$77</c:f>
                  <c:strCache>
                    <c:ptCount val="1"/>
                    <c:pt idx="0">
                      <c:v>49%</c:v>
                    </c:pt>
                  </c:strCache>
                </c:strRef>
              </c:tx>
              <c:spPr/>
              <c:txPr>
                <a:bodyPr/>
                <a:lstStyle/>
                <a:p>
                  <a:pPr>
                    <a:defRPr sz="1000" b="0" i="0" strike="noStrike" baseline="0">
                      <a:latin typeface="Arial" pitchFamily="34" charset="0"/>
                      <a:cs typeface="Arial" pitchFamily="34" charset="0"/>
                    </a:defRPr>
                  </a:pPr>
                  <a:endParaRPr lang="en-US"/>
                </a:p>
              </c:txPr>
              <c:dLblPos val="ctr"/>
              <c:showVal val="1"/>
            </c:dLbl>
            <c:dLbl>
              <c:idx val="4"/>
              <c:tx>
                <c:strRef>
                  <c:f>'[GH-HTS-focus on corridor-12-02-27.xlsm]PIV-Travel Mode for major trips'!$N$78</c:f>
                  <c:strCache>
                    <c:ptCount val="1"/>
                    <c:pt idx="0">
                      <c:v>47%</c:v>
                    </c:pt>
                  </c:strCache>
                </c:strRef>
              </c:tx>
              <c:spPr/>
              <c:txPr>
                <a:bodyPr/>
                <a:lstStyle/>
                <a:p>
                  <a:pPr>
                    <a:defRPr sz="1000" b="0" i="0" strike="noStrike" baseline="0">
                      <a:latin typeface="Arial" pitchFamily="34" charset="0"/>
                      <a:cs typeface="Arial" pitchFamily="34" charset="0"/>
                    </a:defRPr>
                  </a:pPr>
                  <a:endParaRPr lang="en-US"/>
                </a:p>
              </c:txPr>
              <c:dLblPos val="ctr"/>
              <c:showVal val="1"/>
            </c:dLbl>
            <c:dLbl>
              <c:idx val="5"/>
              <c:tx>
                <c:strRef>
                  <c:f>'[GH-HTS-focus on corridor-12-02-27.xlsm]PIV-Travel Mode for major trips'!$N$79</c:f>
                  <c:strCache>
                    <c:ptCount val="1"/>
                    <c:pt idx="0">
                      <c:v>41%</c:v>
                    </c:pt>
                  </c:strCache>
                </c:strRef>
              </c:tx>
              <c:spPr/>
              <c:txPr>
                <a:bodyPr/>
                <a:lstStyle/>
                <a:p>
                  <a:pPr>
                    <a:defRPr sz="1000" b="0" i="0" strike="noStrike" baseline="0">
                      <a:latin typeface="Arial" pitchFamily="34" charset="0"/>
                      <a:cs typeface="Arial" pitchFamily="34" charset="0"/>
                    </a:defRPr>
                  </a:pPr>
                  <a:endParaRPr lang="en-US"/>
                </a:p>
              </c:txPr>
              <c:dLblPos val="ctr"/>
              <c:showVal val="1"/>
            </c:dLbl>
            <c:txPr>
              <a:bodyPr/>
              <a:lstStyle/>
              <a:p>
                <a:pPr>
                  <a:defRPr sz="1000" baseline="0">
                    <a:latin typeface="Arial" pitchFamily="34" charset="0"/>
                    <a:cs typeface="Arial" pitchFamily="34" charset="0"/>
                  </a:defRPr>
                </a:pPr>
                <a:endParaRPr lang="en-US"/>
              </a:p>
            </c:txPr>
            <c:showVal val="1"/>
          </c:dLbls>
          <c:cat>
            <c:strRef>
              <c:f>'[GH-HTS-focus on corridor-12-02-27.xlsm]PIV-Travel Mode for major trips'!$J$58:$J$63</c:f>
              <c:strCache>
                <c:ptCount val="6"/>
                <c:pt idx="0">
                  <c:v>Education</c:v>
                </c:pt>
                <c:pt idx="1">
                  <c:v>Accompany</c:v>
                </c:pt>
                <c:pt idx="2">
                  <c:v>Visiting</c:v>
                </c:pt>
                <c:pt idx="3">
                  <c:v>Recreation / Entertainment</c:v>
                </c:pt>
                <c:pt idx="4">
                  <c:v>Shopping</c:v>
                </c:pt>
                <c:pt idx="5">
                  <c:v>Work</c:v>
                </c:pt>
              </c:strCache>
            </c:strRef>
          </c:cat>
          <c:val>
            <c:numRef>
              <c:f>'[GH-HTS-focus on corridor-12-02-27.xlsm]PIV-Travel Mode for major trips'!$N$58:$N$63</c:f>
              <c:numCache>
                <c:formatCode>_-* #,##0_-;\-* #,##0_-;_-* "-"??_-;_-@_-</c:formatCode>
                <c:ptCount val="6"/>
                <c:pt idx="0">
                  <c:v>3299.5347624969236</c:v>
                </c:pt>
                <c:pt idx="1">
                  <c:v>816.63705917013294</c:v>
                </c:pt>
                <c:pt idx="2">
                  <c:v>1600.2356297428046</c:v>
                </c:pt>
                <c:pt idx="3">
                  <c:v>10137.470704764644</c:v>
                </c:pt>
                <c:pt idx="4">
                  <c:v>9345.6909870189229</c:v>
                </c:pt>
                <c:pt idx="5">
                  <c:v>13055.637678903337</c:v>
                </c:pt>
              </c:numCache>
            </c:numRef>
          </c:val>
        </c:ser>
        <c:ser>
          <c:idx val="4"/>
          <c:order val="4"/>
          <c:tx>
            <c:strRef>
              <c:f>'[GH-HTS-focus on corridor-12-02-27.xlsm]PIV-Travel Mode for major trips'!$O$54</c:f>
              <c:strCache>
                <c:ptCount val="1"/>
                <c:pt idx="0">
                  <c:v>Other</c:v>
                </c:pt>
              </c:strCache>
            </c:strRef>
          </c:tx>
          <c:spPr>
            <a:solidFill>
              <a:schemeClr val="accent6"/>
            </a:solidFill>
          </c:spPr>
          <c:dLbls>
            <c:dLbl>
              <c:idx val="0"/>
              <c:tx>
                <c:strRef>
                  <c:f>'[GH-HTS-focus on corridor-12-02-27.xlsm]PIV-Travel Mode for major trips'!$O$74</c:f>
                  <c:strCache>
                    <c:ptCount val="1"/>
                    <c:pt idx="0">
                      <c:v>3%</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1"/>
              <c:delete val="1"/>
            </c:dLbl>
            <c:dLbl>
              <c:idx val="2"/>
              <c:delete val="1"/>
            </c:dLbl>
            <c:dLbl>
              <c:idx val="3"/>
              <c:tx>
                <c:strRef>
                  <c:f>'[GH-HTS-focus on corridor-12-02-27.xlsm]PIV-Travel Mode for major trips'!$O$77</c:f>
                  <c:strCache>
                    <c:ptCount val="1"/>
                    <c:pt idx="0">
                      <c:v>1%</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4"/>
              <c:tx>
                <c:strRef>
                  <c:f>'[GH-HTS-focus on corridor-12-02-27.xlsm]PIV-Travel Mode for major trips'!$O$78</c:f>
                  <c:strCache>
                    <c:ptCount val="1"/>
                    <c:pt idx="0">
                      <c:v>1%</c:v>
                    </c:pt>
                  </c:strCache>
                </c:strRef>
              </c:tx>
              <c:spPr/>
              <c:txPr>
                <a:bodyPr/>
                <a:lstStyle/>
                <a:p>
                  <a:pPr>
                    <a:defRPr sz="800" b="0" i="0" strike="noStrike" baseline="0">
                      <a:latin typeface="Arial" pitchFamily="34" charset="0"/>
                      <a:cs typeface="Arial" pitchFamily="34" charset="0"/>
                    </a:defRPr>
                  </a:pPr>
                  <a:endParaRPr lang="en-US"/>
                </a:p>
              </c:txPr>
              <c:dLblPos val="ctr"/>
              <c:showVal val="1"/>
            </c:dLbl>
            <c:dLbl>
              <c:idx val="5"/>
              <c:tx>
                <c:strRef>
                  <c:f>'[GH-HTS-focus on corridor-12-02-27.xlsm]PIV-Travel Mode for major trips'!$O$79</c:f>
                  <c:strCache>
                    <c:ptCount val="1"/>
                    <c:pt idx="0">
                      <c:v>2%</c:v>
                    </c:pt>
                  </c:strCache>
                </c:strRef>
              </c:tx>
              <c:spPr/>
              <c:txPr>
                <a:bodyPr/>
                <a:lstStyle/>
                <a:p>
                  <a:pPr>
                    <a:defRPr sz="800" b="0" i="0" strike="noStrike" baseline="0">
                      <a:latin typeface="Arial" pitchFamily="34" charset="0"/>
                      <a:cs typeface="Arial" pitchFamily="34" charset="0"/>
                    </a:defRPr>
                  </a:pPr>
                  <a:endParaRPr lang="en-US"/>
                </a:p>
              </c:txPr>
              <c:dLblPos val="ctr"/>
              <c:showVal val="1"/>
            </c:dLbl>
            <c:txPr>
              <a:bodyPr/>
              <a:lstStyle/>
              <a:p>
                <a:pPr>
                  <a:defRPr sz="800" baseline="0">
                    <a:latin typeface="Arial" pitchFamily="34" charset="0"/>
                    <a:cs typeface="Arial" pitchFamily="34" charset="0"/>
                  </a:defRPr>
                </a:pPr>
                <a:endParaRPr lang="en-US"/>
              </a:p>
            </c:txPr>
            <c:showVal val="1"/>
          </c:dLbls>
          <c:cat>
            <c:strRef>
              <c:f>'[GH-HTS-focus on corridor-12-02-27.xlsm]PIV-Travel Mode for major trips'!$J$58:$J$63</c:f>
              <c:strCache>
                <c:ptCount val="6"/>
                <c:pt idx="0">
                  <c:v>Education</c:v>
                </c:pt>
                <c:pt idx="1">
                  <c:v>Accompany</c:v>
                </c:pt>
                <c:pt idx="2">
                  <c:v>Visiting</c:v>
                </c:pt>
                <c:pt idx="3">
                  <c:v>Recreation / Entertainment</c:v>
                </c:pt>
                <c:pt idx="4">
                  <c:v>Shopping</c:v>
                </c:pt>
                <c:pt idx="5">
                  <c:v>Work</c:v>
                </c:pt>
              </c:strCache>
            </c:strRef>
          </c:cat>
          <c:val>
            <c:numRef>
              <c:f>'[GH-HTS-focus on corridor-12-02-27.xlsm]PIV-Travel Mode for major trips'!$O$58:$O$63</c:f>
              <c:numCache>
                <c:formatCode>_-* #,##0_-;\-* #,##0_-;_-* "-"??_-;_-@_-</c:formatCode>
                <c:ptCount val="6"/>
                <c:pt idx="0">
                  <c:v>188.13211645591568</c:v>
                </c:pt>
                <c:pt idx="1">
                  <c:v>0</c:v>
                </c:pt>
                <c:pt idx="2">
                  <c:v>0</c:v>
                </c:pt>
                <c:pt idx="3">
                  <c:v>299.26605046908838</c:v>
                </c:pt>
                <c:pt idx="4">
                  <c:v>180.55068548202453</c:v>
                </c:pt>
                <c:pt idx="5">
                  <c:v>535.3385455503676</c:v>
                </c:pt>
              </c:numCache>
            </c:numRef>
          </c:val>
        </c:ser>
        <c:gapWidth val="20"/>
        <c:overlap val="100"/>
        <c:axId val="62645376"/>
        <c:axId val="62646912"/>
      </c:barChart>
      <c:catAx>
        <c:axId val="62645376"/>
        <c:scaling>
          <c:orientation val="minMax"/>
        </c:scaling>
        <c:axPos val="l"/>
        <c:tickLblPos val="nextTo"/>
        <c:txPr>
          <a:bodyPr/>
          <a:lstStyle/>
          <a:p>
            <a:pPr>
              <a:defRPr sz="1000" baseline="0">
                <a:latin typeface="Arial" pitchFamily="34" charset="0"/>
                <a:cs typeface="Arial" pitchFamily="34" charset="0"/>
              </a:defRPr>
            </a:pPr>
            <a:endParaRPr lang="en-US"/>
          </a:p>
        </c:txPr>
        <c:crossAx val="62646912"/>
        <c:crosses val="autoZero"/>
        <c:auto val="1"/>
        <c:lblAlgn val="ctr"/>
        <c:lblOffset val="100"/>
      </c:catAx>
      <c:valAx>
        <c:axId val="62646912"/>
        <c:scaling>
          <c:orientation val="minMax"/>
        </c:scaling>
        <c:axPos val="b"/>
        <c:majorGridlines/>
        <c:numFmt formatCode="0%" sourceLinked="1"/>
        <c:tickLblPos val="nextTo"/>
        <c:txPr>
          <a:bodyPr/>
          <a:lstStyle/>
          <a:p>
            <a:pPr>
              <a:defRPr>
                <a:latin typeface="Arial" pitchFamily="34" charset="0"/>
                <a:cs typeface="Arial" pitchFamily="34" charset="0"/>
              </a:defRPr>
            </a:pPr>
            <a:endParaRPr lang="en-US"/>
          </a:p>
        </c:txPr>
        <c:crossAx val="62645376"/>
        <c:crosses val="autoZero"/>
        <c:crossBetween val="between"/>
        <c:dispUnits>
          <c:builtInUnit val="thousands"/>
          <c:dispUnitsLbl>
            <c:layout>
              <c:manualLayout>
                <c:xMode val="edge"/>
                <c:yMode val="edge"/>
                <c:x val="0.79123244695128847"/>
                <c:y val="0.91108778069407992"/>
              </c:manualLayout>
            </c:layout>
            <c:tx>
              <c:rich>
                <a:bodyPr/>
                <a:lstStyle/>
                <a:p>
                  <a:pPr>
                    <a:defRPr/>
                  </a:pPr>
                  <a:r>
                    <a:rPr lang="en-AU"/>
                    <a:t>Trips ('000)</a:t>
                  </a:r>
                </a:p>
              </c:rich>
            </c:tx>
          </c:dispUnitsLbl>
        </c:dispUnits>
      </c:valAx>
    </c:plotArea>
    <c:legend>
      <c:legendPos val="t"/>
      <c:layout>
        <c:manualLayout>
          <c:xMode val="edge"/>
          <c:yMode val="edge"/>
          <c:x val="5.5661804552770144E-2"/>
          <c:y val="9.7222222222222224E-2"/>
          <c:w val="0.89999980252769241"/>
          <c:h val="8.4743617466440629E-2"/>
        </c:manualLayout>
      </c:layout>
      <c:txPr>
        <a:bodyPr/>
        <a:lstStyle/>
        <a:p>
          <a:pPr>
            <a:defRPr>
              <a:latin typeface="Arial" pitchFamily="34" charset="0"/>
              <a:cs typeface="Arial" pitchFamily="34"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47060-EFD0-4874-B01B-C12EB903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23</Pages>
  <Words>4606</Words>
  <Characters>26256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30801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s-poortenaar</dc:creator>
  <cp:lastModifiedBy>s-poortenaar</cp:lastModifiedBy>
  <cp:revision>2</cp:revision>
  <cp:lastPrinted>2012-07-05T23:59:00Z</cp:lastPrinted>
  <dcterms:created xsi:type="dcterms:W3CDTF">2012-07-11T23:57:00Z</dcterms:created>
  <dcterms:modified xsi:type="dcterms:W3CDTF">2012-07-11T23:57:00Z</dcterms:modified>
</cp:coreProperties>
</file>