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83C97" w14:textId="002CBB71" w:rsidR="008F75B7" w:rsidRPr="00EC2562" w:rsidRDefault="003905ED" w:rsidP="00EC2562">
      <w:r w:rsidRPr="00EC2562">
        <w:rPr>
          <w:noProof/>
          <w:lang w:eastAsia="en-AU"/>
        </w:rPr>
        <mc:AlternateContent>
          <mc:Choice Requires="wps">
            <w:drawing>
              <wp:anchor distT="0" distB="0" distL="114300" distR="114300" simplePos="0" relativeHeight="251658244" behindDoc="0" locked="0" layoutInCell="1" allowOverlap="1" wp14:anchorId="3D18B01A" wp14:editId="3179E186">
                <wp:simplePos x="0" y="0"/>
                <wp:positionH relativeFrom="column">
                  <wp:posOffset>-297180</wp:posOffset>
                </wp:positionH>
                <wp:positionV relativeFrom="paragraph">
                  <wp:posOffset>318218</wp:posOffset>
                </wp:positionV>
                <wp:extent cx="292100" cy="1521460"/>
                <wp:effectExtent l="0" t="0" r="12700" b="2540"/>
                <wp:wrapNone/>
                <wp:docPr id="7" name="Text Box 7"/>
                <wp:cNvGraphicFramePr/>
                <a:graphic xmlns:a="http://schemas.openxmlformats.org/drawingml/2006/main">
                  <a:graphicData uri="http://schemas.microsoft.com/office/word/2010/wordprocessingShape">
                    <wps:wsp>
                      <wps:cNvSpPr txBox="1"/>
                      <wps:spPr>
                        <a:xfrm>
                          <a:off x="0" y="0"/>
                          <a:ext cx="292100" cy="1521460"/>
                        </a:xfrm>
                        <a:prstGeom prst="rect">
                          <a:avLst/>
                        </a:prstGeom>
                        <a:noFill/>
                        <a:ln>
                          <a:noFill/>
                        </a:ln>
                        <a:effectLst/>
                        <a:extLst>
                          <a:ext uri="{C572A759-6A51-4108-AA02-DFA0A04FC94B}">
                            <ma14:wrappingTextBoxFlag xmlns:w16sdtfl="http://schemas.microsoft.com/office/word/2024/wordml/sdtformatlock"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14="http://schemas.microsoft.com/office/drawing/2010/main" xmlns:pic="http://schemas.openxmlformats.org/drawingml/2006/picture"/>
                          </a:ext>
                        </a:extLst>
                      </wps:spPr>
                      <wps:txbx>
                        <w:txbxContent>
                          <w:p w14:paraId="26D45A15" w14:textId="555F07D7" w:rsidR="007147C3" w:rsidRPr="00070698" w:rsidRDefault="00D50E88" w:rsidP="007147C3">
                            <w:pPr>
                              <w:pStyle w:val="BodyText"/>
                            </w:pPr>
                            <w:r>
                              <w:t>May</w:t>
                            </w:r>
                            <w:r w:rsidR="007147C3">
                              <w:t xml:space="preserve"> </w:t>
                            </w:r>
                            <w:r>
                              <w:t>2025</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8B01A" id="_x0000_t202" coordsize="21600,21600" o:spt="202" path="m,l,21600r21600,l21600,xe">
                <v:stroke joinstyle="miter"/>
                <v:path gradientshapeok="t" o:connecttype="rect"/>
              </v:shapetype>
              <v:shape id="Text Box 7" o:spid="_x0000_s1026" type="#_x0000_t202" style="position:absolute;margin-left:-23.4pt;margin-top:25.05pt;width:23pt;height:119.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" filled="f" stroked="f">
                <v:textbox style="layout-flow:vertical;mso-layout-flow-alt:bottom-to-top" inset="0,0,0,0">
                  <w:txbxContent>
                    <w:p w14:paraId="26D45A15" w14:textId="555F07D7" w:rsidR="007147C3" w:rsidRPr="00070698" w:rsidRDefault="00D50E88" w:rsidP="007147C3">
                      <w:pPr>
                        <w:pStyle w:val="BodyText"/>
                      </w:pPr>
                      <w:r>
                        <w:t>May</w:t>
                      </w:r>
                      <w:r w:rsidR="007147C3">
                        <w:t xml:space="preserve"> </w:t>
                      </w:r>
                      <w:r>
                        <w:t>2025</w:t>
                      </w:r>
                    </w:p>
                  </w:txbxContent>
                </v:textbox>
              </v:shape>
            </w:pict>
          </mc:Fallback>
        </mc:AlternateContent>
      </w:r>
      <w:r w:rsidR="00745EBF">
        <w:rPr>
          <w:noProof/>
        </w:rPr>
        <w:drawing>
          <wp:anchor distT="0" distB="0" distL="114300" distR="114300" simplePos="0" relativeHeight="251661319" behindDoc="1" locked="0" layoutInCell="1" allowOverlap="1" wp14:anchorId="04065120" wp14:editId="74E5EAC8">
            <wp:simplePos x="0" y="0"/>
            <wp:positionH relativeFrom="page">
              <wp:align>left</wp:align>
            </wp:positionH>
            <wp:positionV relativeFrom="paragraph">
              <wp:posOffset>-1305733</wp:posOffset>
            </wp:positionV>
            <wp:extent cx="7581900" cy="10724183"/>
            <wp:effectExtent l="0" t="0" r="0" b="1270"/>
            <wp:wrapNone/>
            <wp:docPr id="11099526" name="Picture 1" descr="A close-up of markers on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526" name="Picture 1" descr="A close-up of markers on a map&#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7581900" cy="10724183"/>
                    </a:xfrm>
                    <a:prstGeom prst="rect">
                      <a:avLst/>
                    </a:prstGeom>
                  </pic:spPr>
                </pic:pic>
              </a:graphicData>
            </a:graphic>
            <wp14:sizeRelH relativeFrom="margin">
              <wp14:pctWidth>0</wp14:pctWidth>
            </wp14:sizeRelH>
            <wp14:sizeRelV relativeFrom="margin">
              <wp14:pctHeight>0</wp14:pctHeight>
            </wp14:sizeRelV>
          </wp:anchor>
        </w:drawing>
      </w:r>
      <w:r w:rsidR="0096470D" w:rsidRPr="007147C3">
        <w:rPr>
          <w:noProof/>
          <w:lang w:eastAsia="en-AU"/>
        </w:rPr>
        <mc:AlternateContent>
          <mc:Choice Requires="wps">
            <w:drawing>
              <wp:anchor distT="0" distB="0" distL="114300" distR="114300" simplePos="0" relativeHeight="251658243" behindDoc="0" locked="0" layoutInCell="1" allowOverlap="1" wp14:anchorId="70CD7EB0" wp14:editId="4F1F841D">
                <wp:simplePos x="0" y="0"/>
                <wp:positionH relativeFrom="column">
                  <wp:posOffset>307340</wp:posOffset>
                </wp:positionH>
                <wp:positionV relativeFrom="paragraph">
                  <wp:posOffset>-382415</wp:posOffset>
                </wp:positionV>
                <wp:extent cx="6140450" cy="1847850"/>
                <wp:effectExtent l="0" t="0" r="12700" b="0"/>
                <wp:wrapNone/>
                <wp:docPr id="6" name="Text Box 6"/>
                <wp:cNvGraphicFramePr/>
                <a:graphic xmlns:a="http://schemas.openxmlformats.org/drawingml/2006/main">
                  <a:graphicData uri="http://schemas.microsoft.com/office/word/2010/wordprocessingShape">
                    <wps:wsp>
                      <wps:cNvSpPr txBox="1"/>
                      <wps:spPr>
                        <a:xfrm>
                          <a:off x="0" y="0"/>
                          <a:ext cx="6140450" cy="1847850"/>
                        </a:xfrm>
                        <a:prstGeom prst="rect">
                          <a:avLst/>
                        </a:prstGeom>
                        <a:noFill/>
                        <a:ln>
                          <a:noFill/>
                        </a:ln>
                        <a:effectLst/>
                        <a:extLst>
                          <a:ext uri="{C572A759-6A51-4108-AA02-DFA0A04FC94B}">
                            <ma14:wrappingTextBoxFlag xmlns:w16sdtfl="http://schemas.microsoft.com/office/word/2024/wordml/sdtformatlock"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14="http://schemas.microsoft.com/office/drawing/2010/main" xmlns:pic="http://schemas.openxmlformats.org/drawingml/2006/picture"/>
                          </a:ext>
                        </a:extLst>
                      </wps:spPr>
                      <wps:txbx>
                        <w:txbxContent>
                          <w:p w14:paraId="34495011" w14:textId="2BEFCB2B" w:rsidR="007147C3" w:rsidRPr="00070698" w:rsidRDefault="00D50E88" w:rsidP="00835655">
                            <w:pPr>
                              <w:pStyle w:val="Title"/>
                              <w:spacing w:line="240" w:lineRule="auto"/>
                            </w:pPr>
                            <w:r>
                              <w:t xml:space="preserve">Government Response </w:t>
                            </w:r>
                            <w:r w:rsidR="0096470D">
                              <w:br/>
                            </w:r>
                            <w:r>
                              <w:t xml:space="preserve">to the Independent Review </w:t>
                            </w:r>
                            <w:r w:rsidR="0096470D">
                              <w:br/>
                            </w:r>
                            <w:r>
                              <w:t>into Homes Tasmania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D7EB0" id="Text Box 6" o:spid="_x0000_s1027" type="#_x0000_t202" style="position:absolute;margin-left:24.2pt;margin-top:-30.1pt;width:483.5pt;height:14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" filled="f" stroked="f">
                <v:textbox inset="0,0,0,0">
                  <w:txbxContent>
                    <w:p w14:paraId="34495011" w14:textId="2BEFCB2B" w:rsidR="007147C3" w:rsidRPr="00070698" w:rsidRDefault="00D50E88" w:rsidP="00835655">
                      <w:pPr>
                        <w:pStyle w:val="Title"/>
                        <w:spacing w:line="240" w:lineRule="auto"/>
                      </w:pPr>
                      <w:r>
                        <w:t xml:space="preserve">Government Response </w:t>
                      </w:r>
                      <w:r w:rsidR="0096470D">
                        <w:br/>
                      </w:r>
                      <w:r>
                        <w:t xml:space="preserve">to the Independent Review </w:t>
                      </w:r>
                      <w:r w:rsidR="0096470D">
                        <w:br/>
                      </w:r>
                      <w:r>
                        <w:t>into Homes Tasmania</w:t>
                      </w:r>
                    </w:p>
                  </w:txbxContent>
                </v:textbox>
              </v:shape>
            </w:pict>
          </mc:Fallback>
        </mc:AlternateContent>
      </w:r>
      <w:r w:rsidR="007147C3" w:rsidRPr="00EC2562">
        <w:rPr>
          <w:noProof/>
          <w:lang w:eastAsia="en-AU"/>
        </w:rPr>
        <mc:AlternateContent>
          <mc:Choice Requires="wps">
            <w:drawing>
              <wp:anchor distT="0" distB="0" distL="114300" distR="114300" simplePos="0" relativeHeight="251658242" behindDoc="0" locked="0" layoutInCell="1" allowOverlap="1" wp14:anchorId="5CE54324" wp14:editId="5411493D">
                <wp:simplePos x="0" y="0"/>
                <wp:positionH relativeFrom="page">
                  <wp:posOffset>848360</wp:posOffset>
                </wp:positionH>
                <wp:positionV relativeFrom="page">
                  <wp:posOffset>857984</wp:posOffset>
                </wp:positionV>
                <wp:extent cx="3708400" cy="660400"/>
                <wp:effectExtent l="0" t="0" r="6350" b="6350"/>
                <wp:wrapNone/>
                <wp:docPr id="4" name="Text Box 4"/>
                <wp:cNvGraphicFramePr/>
                <a:graphic xmlns:a="http://schemas.openxmlformats.org/drawingml/2006/main">
                  <a:graphicData uri="http://schemas.microsoft.com/office/word/2010/wordprocessingShape">
                    <wps:wsp>
                      <wps:cNvSpPr txBox="1"/>
                      <wps:spPr>
                        <a:xfrm>
                          <a:off x="0" y="0"/>
                          <a:ext cx="3708400" cy="660400"/>
                        </a:xfrm>
                        <a:prstGeom prst="rect">
                          <a:avLst/>
                        </a:prstGeom>
                        <a:noFill/>
                        <a:ln>
                          <a:noFill/>
                        </a:ln>
                        <a:effectLst/>
                        <a:extLst>
                          <a:ext uri="{FAA26D3D-D897-4be2-8F04-BA451C77F1D7}">
                            <ma14:placeholderFlag xmlns:w16sdtfl="http://schemas.microsoft.com/office/word/2024/wordml/sdtformatlock"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14="http://schemas.microsoft.com/office/drawing/2010/main" xmlns:pic="http://schemas.openxmlformats.org/drawingml/2006/picture"/>
                          </a:ext>
                          <a:ext uri="{C572A759-6A51-4108-AA02-DFA0A04FC94B}">
                            <ma14:wrappingTextBoxFlag xmlns:w16sdtfl="http://schemas.microsoft.com/office/word/2024/wordml/sdtformatlock"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14="http://schemas.microsoft.com/office/drawing/2010/main" xmlns:pic="http://schemas.openxmlformats.org/drawingml/2006/picture"/>
                          </a:ext>
                        </a:extLst>
                      </wps:spPr>
                      <wps:txbx>
                        <w:txbxContent>
                          <w:p w14:paraId="5E4D30A0" w14:textId="72B7015E" w:rsidR="007147C3" w:rsidRPr="007147C3" w:rsidRDefault="007147C3" w:rsidP="007147C3">
                            <w:pPr>
                              <w:pStyle w:val="Titl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54324" id="Text Box 4" o:spid="_x0000_s1028" type="#_x0000_t202" style="position:absolute;margin-left:66.8pt;margin-top:67.55pt;width:292pt;height:5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" filled="f" stroked="f">
                <v:textbox inset="0,0,0,0">
                  <w:txbxContent>
                    <w:p w14:paraId="5E4D30A0" w14:textId="72B7015E" w:rsidR="007147C3" w:rsidRPr="007147C3" w:rsidRDefault="007147C3" w:rsidP="007147C3">
                      <w:pPr>
                        <w:pStyle w:val="Title"/>
                      </w:pPr>
                    </w:p>
                  </w:txbxContent>
                </v:textbox>
                <w10:wrap anchorx="page" anchory="page"/>
              </v:shape>
            </w:pict>
          </mc:Fallback>
        </mc:AlternateContent>
      </w:r>
    </w:p>
    <w:p w14:paraId="1845E9C6" w14:textId="78F4677B" w:rsidR="0096470D" w:rsidRDefault="0096470D">
      <w:r w:rsidRPr="00EC2562">
        <w:rPr>
          <w:noProof/>
          <w:lang w:eastAsia="en-AU"/>
        </w:rPr>
        <mc:AlternateContent>
          <mc:Choice Requires="wps">
            <w:drawing>
              <wp:anchor distT="0" distB="0" distL="114300" distR="114300" simplePos="0" relativeHeight="251658245" behindDoc="0" locked="0" layoutInCell="1" allowOverlap="1" wp14:anchorId="2182EB5E" wp14:editId="6DAC55F5">
                <wp:simplePos x="0" y="0"/>
                <wp:positionH relativeFrom="column">
                  <wp:posOffset>-7620</wp:posOffset>
                </wp:positionH>
                <wp:positionV relativeFrom="paragraph">
                  <wp:posOffset>8460740</wp:posOffset>
                </wp:positionV>
                <wp:extent cx="3434964" cy="286247"/>
                <wp:effectExtent l="0" t="0" r="13335" b="0"/>
                <wp:wrapNone/>
                <wp:docPr id="5" name="Text Box 5"/>
                <wp:cNvGraphicFramePr/>
                <a:graphic xmlns:a="http://schemas.openxmlformats.org/drawingml/2006/main">
                  <a:graphicData uri="http://schemas.microsoft.com/office/word/2010/wordprocessingShape">
                    <wps:wsp>
                      <wps:cNvSpPr txBox="1"/>
                      <wps:spPr>
                        <a:xfrm>
                          <a:off x="0" y="0"/>
                          <a:ext cx="3434964" cy="286247"/>
                        </a:xfrm>
                        <a:prstGeom prst="rect">
                          <a:avLst/>
                        </a:prstGeom>
                        <a:noFill/>
                        <a:ln>
                          <a:noFill/>
                        </a:ln>
                        <a:effectLst/>
                        <a:extLst>
                          <a:ext uri="{C572A759-6A51-4108-AA02-DFA0A04FC94B}">
                            <ma14:wrappingTextBoxFlag xmlns:w16sdtfl="http://schemas.microsoft.com/office/word/2024/wordml/sdtformatlock"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14="http://schemas.microsoft.com/office/drawing/2010/main" xmlns:pic="http://schemas.openxmlformats.org/drawingml/2006/picture"/>
                          </a:ext>
                        </a:extLst>
                      </wps:spPr>
                      <wps:txbx>
                        <w:txbxContent>
                          <w:p w14:paraId="46F7A081" w14:textId="18C7E132" w:rsidR="007147C3" w:rsidRPr="00BB7652" w:rsidRDefault="005276AE" w:rsidP="007147C3">
                            <w:pPr>
                              <w:pStyle w:val="BodyText"/>
                              <w:rPr>
                                <w:rStyle w:val="BodytextBold"/>
                                <w:rFonts w:cs="Arial"/>
                              </w:rPr>
                            </w:pPr>
                            <w:r>
                              <w:rPr>
                                <w:rStyle w:val="BodytextBold"/>
                                <w:rFonts w:cs="Arial"/>
                              </w:rPr>
                              <w:t>Department of State Growth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2EB5E" id="Text Box 5" o:spid="_x0000_s1029" type="#_x0000_t202" style="position:absolute;margin-left:-.6pt;margin-top:666.2pt;width:270.45pt;height:22.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" filled="f" stroked="f">
                <v:textbox inset="0,0,0,0">
                  <w:txbxContent>
                    <w:p w14:paraId="46F7A081" w14:textId="18C7E132" w:rsidR="007147C3" w:rsidRPr="00BB7652" w:rsidRDefault="005276AE" w:rsidP="007147C3">
                      <w:pPr>
                        <w:pStyle w:val="BodyText"/>
                        <w:rPr>
                          <w:rStyle w:val="BodytextBold"/>
                          <w:rFonts w:cs="Arial"/>
                        </w:rPr>
                      </w:pPr>
                      <w:r>
                        <w:rPr>
                          <w:rStyle w:val="BodytextBold"/>
                          <w:rFonts w:cs="Arial"/>
                        </w:rPr>
                        <w:t>Department of State Growth</w:t>
                      </w:r>
                    </w:p>
                  </w:txbxContent>
                </v:textbox>
              </v:shape>
            </w:pict>
          </mc:Fallback>
        </mc:AlternateContent>
      </w:r>
      <w:r>
        <w:br w:type="page"/>
      </w:r>
    </w:p>
    <w:p w14:paraId="195A9C49" w14:textId="77777777" w:rsidR="00745EBF" w:rsidRDefault="001B5233" w:rsidP="00F74936">
      <w:r>
        <w:rPr>
          <w:noProof/>
        </w:rPr>
        <w:lastRenderedPageBreak/>
        <w:drawing>
          <wp:anchor distT="0" distB="0" distL="114300" distR="114300" simplePos="0" relativeHeight="251681799" behindDoc="1" locked="0" layoutInCell="1" allowOverlap="1" wp14:anchorId="4682719C" wp14:editId="0C1D89DD">
            <wp:simplePos x="0" y="0"/>
            <wp:positionH relativeFrom="page">
              <wp:align>left</wp:align>
            </wp:positionH>
            <wp:positionV relativeFrom="paragraph">
              <wp:posOffset>-1212088</wp:posOffset>
            </wp:positionV>
            <wp:extent cx="7533409" cy="10655595"/>
            <wp:effectExtent l="0" t="0" r="0" b="0"/>
            <wp:wrapNone/>
            <wp:docPr id="1764476347" name="Picture 1" descr="A collage of women working on a construction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76347" name="Picture 1" descr="A collage of women working on a construction sit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7560045" cy="10693271"/>
                    </a:xfrm>
                    <a:prstGeom prst="rect">
                      <a:avLst/>
                    </a:prstGeom>
                  </pic:spPr>
                </pic:pic>
              </a:graphicData>
            </a:graphic>
            <wp14:sizeRelH relativeFrom="margin">
              <wp14:pctWidth>0</wp14:pctWidth>
            </wp14:sizeRelH>
            <wp14:sizeRelV relativeFrom="margin">
              <wp14:pctHeight>0</wp14:pctHeight>
            </wp14:sizeRelV>
          </wp:anchor>
        </w:drawing>
      </w:r>
      <w:r w:rsidR="008F75B7" w:rsidRPr="00EC2562">
        <w:br w:type="page"/>
      </w:r>
    </w:p>
    <w:bookmarkStart w:id="0" w:name="_Toc199409082" w:displacedByCustomXml="next"/>
    <w:sdt>
      <w:sdtPr>
        <w:rPr>
          <w:rFonts w:asciiTheme="minorHAnsi" w:eastAsiaTheme="minorEastAsia" w:hAnsiTheme="minorHAnsi" w:cstheme="minorBidi"/>
          <w:color w:val="000000" w:themeColor="text1"/>
          <w:sz w:val="22"/>
          <w:szCs w:val="22"/>
        </w:rPr>
        <w:id w:val="2071374183"/>
        <w:docPartObj>
          <w:docPartGallery w:val="Table of Contents"/>
          <w:docPartUnique/>
        </w:docPartObj>
      </w:sdtPr>
      <w:sdtContent>
        <w:p w14:paraId="1763A774" w14:textId="77777777" w:rsidR="00745EBF" w:rsidRPr="005B0839" w:rsidRDefault="00745EBF" w:rsidP="00745EBF">
          <w:pPr>
            <w:pStyle w:val="Heading1"/>
          </w:pPr>
          <w:r w:rsidRPr="009A4C13">
            <w:t>Contents</w:t>
          </w:r>
          <w:bookmarkEnd w:id="0"/>
        </w:p>
        <w:p w14:paraId="2D7E1DD8" w14:textId="1DA4A3FE" w:rsidR="00B048E4" w:rsidRDefault="00745EBF">
          <w:pPr>
            <w:pStyle w:val="TOC1"/>
            <w:tabs>
              <w:tab w:val="right" w:leader="dot" w:pos="10194"/>
            </w:tabs>
            <w:rPr>
              <w:rFonts w:asciiTheme="minorHAnsi" w:eastAsiaTheme="minorEastAsia" w:hAnsiTheme="minorHAnsi"/>
              <w:b w:val="0"/>
              <w:noProof/>
              <w:color w:val="auto"/>
              <w:kern w:val="2"/>
              <w:sz w:val="24"/>
              <w:szCs w:val="24"/>
              <w:lang w:eastAsia="en-AU"/>
              <w14:ligatures w14:val="standardContextual"/>
            </w:rPr>
          </w:pPr>
          <w:r w:rsidRPr="000601BE">
            <w:rPr>
              <w:rFonts w:cs="Arial"/>
            </w:rPr>
            <w:fldChar w:fldCharType="begin"/>
          </w:r>
          <w:r w:rsidRPr="000601BE">
            <w:rPr>
              <w:rFonts w:cs="Arial"/>
            </w:rPr>
            <w:instrText xml:space="preserve"> TOC \o "1-3" \h \z \u </w:instrText>
          </w:r>
          <w:r w:rsidRPr="000601BE">
            <w:rPr>
              <w:rFonts w:cs="Arial"/>
            </w:rPr>
            <w:fldChar w:fldCharType="separate"/>
          </w:r>
          <w:hyperlink w:anchor="_Toc199409083" w:history="1">
            <w:r w:rsidR="00B048E4" w:rsidRPr="004E2734">
              <w:rPr>
                <w:rStyle w:val="Hyperlink"/>
                <w:noProof/>
              </w:rPr>
              <w:t>Ministerial statement</w:t>
            </w:r>
            <w:r w:rsidR="00B048E4">
              <w:rPr>
                <w:noProof/>
                <w:webHidden/>
              </w:rPr>
              <w:tab/>
            </w:r>
            <w:r w:rsidR="00B048E4">
              <w:rPr>
                <w:noProof/>
                <w:webHidden/>
              </w:rPr>
              <w:fldChar w:fldCharType="begin"/>
            </w:r>
            <w:r w:rsidR="00B048E4">
              <w:rPr>
                <w:noProof/>
                <w:webHidden/>
              </w:rPr>
              <w:instrText xml:space="preserve"> PAGEREF _Toc199409083 \h </w:instrText>
            </w:r>
            <w:r w:rsidR="00B048E4">
              <w:rPr>
                <w:noProof/>
                <w:webHidden/>
              </w:rPr>
            </w:r>
            <w:r w:rsidR="00B048E4">
              <w:rPr>
                <w:noProof/>
                <w:webHidden/>
              </w:rPr>
              <w:fldChar w:fldCharType="separate"/>
            </w:r>
            <w:r w:rsidR="00B048E4">
              <w:rPr>
                <w:noProof/>
                <w:webHidden/>
              </w:rPr>
              <w:t>4</w:t>
            </w:r>
            <w:r w:rsidR="00B048E4">
              <w:rPr>
                <w:noProof/>
                <w:webHidden/>
              </w:rPr>
              <w:fldChar w:fldCharType="end"/>
            </w:r>
          </w:hyperlink>
        </w:p>
        <w:p w14:paraId="5A4BA6C8" w14:textId="77CEC203" w:rsidR="00B048E4" w:rsidRDefault="00000000">
          <w:pPr>
            <w:pStyle w:val="TOC1"/>
            <w:tabs>
              <w:tab w:val="right" w:leader="dot" w:pos="10194"/>
            </w:tabs>
            <w:rPr>
              <w:rFonts w:asciiTheme="minorHAnsi" w:eastAsiaTheme="minorEastAsia" w:hAnsiTheme="minorHAnsi"/>
              <w:b w:val="0"/>
              <w:noProof/>
              <w:color w:val="auto"/>
              <w:kern w:val="2"/>
              <w:sz w:val="24"/>
              <w:szCs w:val="24"/>
              <w:lang w:eastAsia="en-AU"/>
              <w14:ligatures w14:val="standardContextual"/>
            </w:rPr>
          </w:pPr>
          <w:hyperlink w:anchor="_Toc199409084" w:history="1">
            <w:r w:rsidR="00B048E4" w:rsidRPr="004E2734">
              <w:rPr>
                <w:rStyle w:val="Hyperlink"/>
                <w:noProof/>
              </w:rPr>
              <w:t>Why we did this review</w:t>
            </w:r>
            <w:r w:rsidR="00B048E4">
              <w:rPr>
                <w:noProof/>
                <w:webHidden/>
              </w:rPr>
              <w:tab/>
            </w:r>
            <w:r w:rsidR="00B048E4">
              <w:rPr>
                <w:noProof/>
                <w:webHidden/>
              </w:rPr>
              <w:fldChar w:fldCharType="begin"/>
            </w:r>
            <w:r w:rsidR="00B048E4">
              <w:rPr>
                <w:noProof/>
                <w:webHidden/>
              </w:rPr>
              <w:instrText xml:space="preserve"> PAGEREF _Toc199409084 \h </w:instrText>
            </w:r>
            <w:r w:rsidR="00B048E4">
              <w:rPr>
                <w:noProof/>
                <w:webHidden/>
              </w:rPr>
            </w:r>
            <w:r w:rsidR="00B048E4">
              <w:rPr>
                <w:noProof/>
                <w:webHidden/>
              </w:rPr>
              <w:fldChar w:fldCharType="separate"/>
            </w:r>
            <w:r w:rsidR="00B048E4">
              <w:rPr>
                <w:noProof/>
                <w:webHidden/>
              </w:rPr>
              <w:t>6</w:t>
            </w:r>
            <w:r w:rsidR="00B048E4">
              <w:rPr>
                <w:noProof/>
                <w:webHidden/>
              </w:rPr>
              <w:fldChar w:fldCharType="end"/>
            </w:r>
          </w:hyperlink>
        </w:p>
        <w:p w14:paraId="234A3328" w14:textId="34E5DC2A" w:rsidR="00B048E4" w:rsidRDefault="00000000">
          <w:pPr>
            <w:pStyle w:val="TOC1"/>
            <w:tabs>
              <w:tab w:val="right" w:leader="dot" w:pos="10194"/>
            </w:tabs>
            <w:rPr>
              <w:rFonts w:asciiTheme="minorHAnsi" w:eastAsiaTheme="minorEastAsia" w:hAnsiTheme="minorHAnsi"/>
              <w:b w:val="0"/>
              <w:noProof/>
              <w:color w:val="auto"/>
              <w:kern w:val="2"/>
              <w:sz w:val="24"/>
              <w:szCs w:val="24"/>
              <w:lang w:eastAsia="en-AU"/>
              <w14:ligatures w14:val="standardContextual"/>
            </w:rPr>
          </w:pPr>
          <w:hyperlink w:anchor="_Toc199409085" w:history="1">
            <w:r w:rsidR="00B048E4" w:rsidRPr="004E2734">
              <w:rPr>
                <w:rStyle w:val="Hyperlink"/>
                <w:noProof/>
              </w:rPr>
              <w:t xml:space="preserve"> What has the review told us?</w:t>
            </w:r>
            <w:r w:rsidR="00B048E4">
              <w:rPr>
                <w:noProof/>
                <w:webHidden/>
              </w:rPr>
              <w:tab/>
            </w:r>
            <w:r w:rsidR="00B048E4">
              <w:rPr>
                <w:noProof/>
                <w:webHidden/>
              </w:rPr>
              <w:fldChar w:fldCharType="begin"/>
            </w:r>
            <w:r w:rsidR="00B048E4">
              <w:rPr>
                <w:noProof/>
                <w:webHidden/>
              </w:rPr>
              <w:instrText xml:space="preserve"> PAGEREF _Toc199409085 \h </w:instrText>
            </w:r>
            <w:r w:rsidR="00B048E4">
              <w:rPr>
                <w:noProof/>
                <w:webHidden/>
              </w:rPr>
            </w:r>
            <w:r w:rsidR="00B048E4">
              <w:rPr>
                <w:noProof/>
                <w:webHidden/>
              </w:rPr>
              <w:fldChar w:fldCharType="separate"/>
            </w:r>
            <w:r w:rsidR="00B048E4">
              <w:rPr>
                <w:noProof/>
                <w:webHidden/>
              </w:rPr>
              <w:t>7</w:t>
            </w:r>
            <w:r w:rsidR="00B048E4">
              <w:rPr>
                <w:noProof/>
                <w:webHidden/>
              </w:rPr>
              <w:fldChar w:fldCharType="end"/>
            </w:r>
          </w:hyperlink>
        </w:p>
        <w:p w14:paraId="7099399B" w14:textId="12E68CD6" w:rsidR="00B048E4" w:rsidRDefault="00000000">
          <w:pPr>
            <w:pStyle w:val="TOC3"/>
            <w:tabs>
              <w:tab w:val="left" w:pos="960"/>
              <w:tab w:val="right" w:leader="dot" w:pos="10194"/>
            </w:tabs>
            <w:rPr>
              <w:rFonts w:eastAsiaTheme="minorEastAsia"/>
              <w:noProof/>
              <w:color w:val="auto"/>
              <w:kern w:val="2"/>
              <w:sz w:val="24"/>
              <w:szCs w:val="24"/>
              <w:lang w:eastAsia="en-AU"/>
              <w14:ligatures w14:val="standardContextual"/>
            </w:rPr>
          </w:pPr>
          <w:hyperlink w:anchor="_Toc199409086" w:history="1">
            <w:r w:rsidR="00B048E4" w:rsidRPr="004E2734">
              <w:rPr>
                <w:rStyle w:val="Hyperlink"/>
                <w:noProof/>
              </w:rPr>
              <w:t>1.</w:t>
            </w:r>
            <w:r w:rsidR="00B048E4">
              <w:rPr>
                <w:rFonts w:eastAsiaTheme="minorEastAsia"/>
                <w:noProof/>
                <w:color w:val="auto"/>
                <w:kern w:val="2"/>
                <w:sz w:val="24"/>
                <w:szCs w:val="24"/>
                <w:lang w:eastAsia="en-AU"/>
                <w14:ligatures w14:val="standardContextual"/>
              </w:rPr>
              <w:tab/>
            </w:r>
            <w:r w:rsidR="00B048E4" w:rsidRPr="004E2734">
              <w:rPr>
                <w:rStyle w:val="Hyperlink"/>
                <w:noProof/>
              </w:rPr>
              <w:t>System governance and performance needs to be improved</w:t>
            </w:r>
            <w:r w:rsidR="00B048E4">
              <w:rPr>
                <w:noProof/>
                <w:webHidden/>
              </w:rPr>
              <w:tab/>
            </w:r>
            <w:r w:rsidR="00B048E4">
              <w:rPr>
                <w:noProof/>
                <w:webHidden/>
              </w:rPr>
              <w:fldChar w:fldCharType="begin"/>
            </w:r>
            <w:r w:rsidR="00B048E4">
              <w:rPr>
                <w:noProof/>
                <w:webHidden/>
              </w:rPr>
              <w:instrText xml:space="preserve"> PAGEREF _Toc199409086 \h </w:instrText>
            </w:r>
            <w:r w:rsidR="00B048E4">
              <w:rPr>
                <w:noProof/>
                <w:webHidden/>
              </w:rPr>
            </w:r>
            <w:r w:rsidR="00B048E4">
              <w:rPr>
                <w:noProof/>
                <w:webHidden/>
              </w:rPr>
              <w:fldChar w:fldCharType="separate"/>
            </w:r>
            <w:r w:rsidR="00B048E4">
              <w:rPr>
                <w:noProof/>
                <w:webHidden/>
              </w:rPr>
              <w:t>8</w:t>
            </w:r>
            <w:r w:rsidR="00B048E4">
              <w:rPr>
                <w:noProof/>
                <w:webHidden/>
              </w:rPr>
              <w:fldChar w:fldCharType="end"/>
            </w:r>
          </w:hyperlink>
        </w:p>
        <w:p w14:paraId="4143D25D" w14:textId="79161486" w:rsidR="00B048E4" w:rsidRDefault="00000000">
          <w:pPr>
            <w:pStyle w:val="TOC3"/>
            <w:tabs>
              <w:tab w:val="left" w:pos="960"/>
              <w:tab w:val="right" w:leader="dot" w:pos="10194"/>
            </w:tabs>
            <w:rPr>
              <w:rFonts w:eastAsiaTheme="minorEastAsia"/>
              <w:noProof/>
              <w:color w:val="auto"/>
              <w:kern w:val="2"/>
              <w:sz w:val="24"/>
              <w:szCs w:val="24"/>
              <w:lang w:eastAsia="en-AU"/>
              <w14:ligatures w14:val="standardContextual"/>
            </w:rPr>
          </w:pPr>
          <w:hyperlink w:anchor="_Toc199409087" w:history="1">
            <w:r w:rsidR="00B048E4" w:rsidRPr="004E2734">
              <w:rPr>
                <w:rStyle w:val="Hyperlink"/>
                <w:noProof/>
              </w:rPr>
              <w:t>2.</w:t>
            </w:r>
            <w:r w:rsidR="00B048E4">
              <w:rPr>
                <w:rFonts w:eastAsiaTheme="minorEastAsia"/>
                <w:noProof/>
                <w:color w:val="auto"/>
                <w:kern w:val="2"/>
                <w:sz w:val="24"/>
                <w:szCs w:val="24"/>
                <w:lang w:eastAsia="en-AU"/>
                <w14:ligatures w14:val="standardContextual"/>
              </w:rPr>
              <w:tab/>
            </w:r>
            <w:r w:rsidR="00B048E4" w:rsidRPr="004E2734">
              <w:rPr>
                <w:rStyle w:val="Hyperlink"/>
                <w:noProof/>
              </w:rPr>
              <w:t>System stewardship needs to be a key focus</w:t>
            </w:r>
            <w:r w:rsidR="00B048E4">
              <w:rPr>
                <w:noProof/>
                <w:webHidden/>
              </w:rPr>
              <w:tab/>
            </w:r>
            <w:r w:rsidR="00B048E4">
              <w:rPr>
                <w:noProof/>
                <w:webHidden/>
              </w:rPr>
              <w:fldChar w:fldCharType="begin"/>
            </w:r>
            <w:r w:rsidR="00B048E4">
              <w:rPr>
                <w:noProof/>
                <w:webHidden/>
              </w:rPr>
              <w:instrText xml:space="preserve"> PAGEREF _Toc199409087 \h </w:instrText>
            </w:r>
            <w:r w:rsidR="00B048E4">
              <w:rPr>
                <w:noProof/>
                <w:webHidden/>
              </w:rPr>
            </w:r>
            <w:r w:rsidR="00B048E4">
              <w:rPr>
                <w:noProof/>
                <w:webHidden/>
              </w:rPr>
              <w:fldChar w:fldCharType="separate"/>
            </w:r>
            <w:r w:rsidR="00B048E4">
              <w:rPr>
                <w:noProof/>
                <w:webHidden/>
              </w:rPr>
              <w:t>8</w:t>
            </w:r>
            <w:r w:rsidR="00B048E4">
              <w:rPr>
                <w:noProof/>
                <w:webHidden/>
              </w:rPr>
              <w:fldChar w:fldCharType="end"/>
            </w:r>
          </w:hyperlink>
        </w:p>
        <w:p w14:paraId="61EA18B8" w14:textId="6A00A07F" w:rsidR="00B048E4" w:rsidRDefault="00000000">
          <w:pPr>
            <w:pStyle w:val="TOC3"/>
            <w:tabs>
              <w:tab w:val="left" w:pos="960"/>
              <w:tab w:val="right" w:leader="dot" w:pos="10194"/>
            </w:tabs>
            <w:rPr>
              <w:rFonts w:eastAsiaTheme="minorEastAsia"/>
              <w:noProof/>
              <w:color w:val="auto"/>
              <w:kern w:val="2"/>
              <w:sz w:val="24"/>
              <w:szCs w:val="24"/>
              <w:lang w:eastAsia="en-AU"/>
              <w14:ligatures w14:val="standardContextual"/>
            </w:rPr>
          </w:pPr>
          <w:hyperlink w:anchor="_Toc199409088" w:history="1">
            <w:r w:rsidR="00B048E4" w:rsidRPr="004E2734">
              <w:rPr>
                <w:rStyle w:val="Hyperlink"/>
                <w:noProof/>
              </w:rPr>
              <w:t>3.</w:t>
            </w:r>
            <w:r w:rsidR="00B048E4">
              <w:rPr>
                <w:rFonts w:eastAsiaTheme="minorEastAsia"/>
                <w:noProof/>
                <w:color w:val="auto"/>
                <w:kern w:val="2"/>
                <w:sz w:val="24"/>
                <w:szCs w:val="24"/>
                <w:lang w:eastAsia="en-AU"/>
                <w14:ligatures w14:val="standardContextual"/>
              </w:rPr>
              <w:tab/>
            </w:r>
            <w:r w:rsidR="00B048E4" w:rsidRPr="004E2734">
              <w:rPr>
                <w:rStyle w:val="Hyperlink"/>
                <w:noProof/>
              </w:rPr>
              <w:t>Housing accessibility and supply is best served by long term policy consistency</w:t>
            </w:r>
            <w:r w:rsidR="00B048E4">
              <w:rPr>
                <w:noProof/>
                <w:webHidden/>
              </w:rPr>
              <w:tab/>
            </w:r>
            <w:r w:rsidR="00B048E4">
              <w:rPr>
                <w:noProof/>
                <w:webHidden/>
              </w:rPr>
              <w:fldChar w:fldCharType="begin"/>
            </w:r>
            <w:r w:rsidR="00B048E4">
              <w:rPr>
                <w:noProof/>
                <w:webHidden/>
              </w:rPr>
              <w:instrText xml:space="preserve"> PAGEREF _Toc199409088 \h </w:instrText>
            </w:r>
            <w:r w:rsidR="00B048E4">
              <w:rPr>
                <w:noProof/>
                <w:webHidden/>
              </w:rPr>
            </w:r>
            <w:r w:rsidR="00B048E4">
              <w:rPr>
                <w:noProof/>
                <w:webHidden/>
              </w:rPr>
              <w:fldChar w:fldCharType="separate"/>
            </w:r>
            <w:r w:rsidR="00B048E4">
              <w:rPr>
                <w:noProof/>
                <w:webHidden/>
              </w:rPr>
              <w:t>9</w:t>
            </w:r>
            <w:r w:rsidR="00B048E4">
              <w:rPr>
                <w:noProof/>
                <w:webHidden/>
              </w:rPr>
              <w:fldChar w:fldCharType="end"/>
            </w:r>
          </w:hyperlink>
        </w:p>
        <w:p w14:paraId="6CC32A00" w14:textId="099B30B7" w:rsidR="00B048E4" w:rsidRDefault="00000000">
          <w:pPr>
            <w:pStyle w:val="TOC3"/>
            <w:tabs>
              <w:tab w:val="left" w:pos="960"/>
              <w:tab w:val="right" w:leader="dot" w:pos="10194"/>
            </w:tabs>
            <w:rPr>
              <w:rFonts w:eastAsiaTheme="minorEastAsia"/>
              <w:noProof/>
              <w:color w:val="auto"/>
              <w:kern w:val="2"/>
              <w:sz w:val="24"/>
              <w:szCs w:val="24"/>
              <w:lang w:eastAsia="en-AU"/>
              <w14:ligatures w14:val="standardContextual"/>
            </w:rPr>
          </w:pPr>
          <w:hyperlink w:anchor="_Toc199409089" w:history="1">
            <w:r w:rsidR="00B048E4" w:rsidRPr="004E2734">
              <w:rPr>
                <w:rStyle w:val="Hyperlink"/>
                <w:noProof/>
              </w:rPr>
              <w:t>4.</w:t>
            </w:r>
            <w:r w:rsidR="00B048E4">
              <w:rPr>
                <w:rFonts w:eastAsiaTheme="minorEastAsia"/>
                <w:noProof/>
                <w:color w:val="auto"/>
                <w:kern w:val="2"/>
                <w:sz w:val="24"/>
                <w:szCs w:val="24"/>
                <w:lang w:eastAsia="en-AU"/>
                <w14:ligatures w14:val="standardContextual"/>
              </w:rPr>
              <w:tab/>
            </w:r>
            <w:r w:rsidR="00B048E4" w:rsidRPr="004E2734">
              <w:rPr>
                <w:rStyle w:val="Hyperlink"/>
                <w:noProof/>
              </w:rPr>
              <w:t>Service delivery and support needs to be streamlined</w:t>
            </w:r>
            <w:r w:rsidR="00B048E4">
              <w:rPr>
                <w:noProof/>
                <w:webHidden/>
              </w:rPr>
              <w:tab/>
            </w:r>
            <w:r w:rsidR="00B048E4">
              <w:rPr>
                <w:noProof/>
                <w:webHidden/>
              </w:rPr>
              <w:fldChar w:fldCharType="begin"/>
            </w:r>
            <w:r w:rsidR="00B048E4">
              <w:rPr>
                <w:noProof/>
                <w:webHidden/>
              </w:rPr>
              <w:instrText xml:space="preserve"> PAGEREF _Toc199409089 \h </w:instrText>
            </w:r>
            <w:r w:rsidR="00B048E4">
              <w:rPr>
                <w:noProof/>
                <w:webHidden/>
              </w:rPr>
            </w:r>
            <w:r w:rsidR="00B048E4">
              <w:rPr>
                <w:noProof/>
                <w:webHidden/>
              </w:rPr>
              <w:fldChar w:fldCharType="separate"/>
            </w:r>
            <w:r w:rsidR="00B048E4">
              <w:rPr>
                <w:noProof/>
                <w:webHidden/>
              </w:rPr>
              <w:t>9</w:t>
            </w:r>
            <w:r w:rsidR="00B048E4">
              <w:rPr>
                <w:noProof/>
                <w:webHidden/>
              </w:rPr>
              <w:fldChar w:fldCharType="end"/>
            </w:r>
          </w:hyperlink>
        </w:p>
        <w:p w14:paraId="162F3611" w14:textId="2F2CCED9" w:rsidR="00B048E4" w:rsidRDefault="00000000">
          <w:pPr>
            <w:pStyle w:val="TOC1"/>
            <w:tabs>
              <w:tab w:val="right" w:leader="dot" w:pos="10194"/>
            </w:tabs>
            <w:rPr>
              <w:rFonts w:asciiTheme="minorHAnsi" w:eastAsiaTheme="minorEastAsia" w:hAnsiTheme="minorHAnsi"/>
              <w:b w:val="0"/>
              <w:noProof/>
              <w:color w:val="auto"/>
              <w:kern w:val="2"/>
              <w:sz w:val="24"/>
              <w:szCs w:val="24"/>
              <w:lang w:eastAsia="en-AU"/>
              <w14:ligatures w14:val="standardContextual"/>
            </w:rPr>
          </w:pPr>
          <w:hyperlink w:anchor="_Toc199409090" w:history="1">
            <w:r w:rsidR="00B048E4" w:rsidRPr="004E2734">
              <w:rPr>
                <w:rStyle w:val="Hyperlink"/>
                <w:noProof/>
              </w:rPr>
              <w:t>The Government’s response</w:t>
            </w:r>
            <w:r w:rsidR="00B048E4">
              <w:rPr>
                <w:noProof/>
                <w:webHidden/>
              </w:rPr>
              <w:tab/>
            </w:r>
            <w:r w:rsidR="00B048E4">
              <w:rPr>
                <w:noProof/>
                <w:webHidden/>
              </w:rPr>
              <w:fldChar w:fldCharType="begin"/>
            </w:r>
            <w:r w:rsidR="00B048E4">
              <w:rPr>
                <w:noProof/>
                <w:webHidden/>
              </w:rPr>
              <w:instrText xml:space="preserve"> PAGEREF _Toc199409090 \h </w:instrText>
            </w:r>
            <w:r w:rsidR="00B048E4">
              <w:rPr>
                <w:noProof/>
                <w:webHidden/>
              </w:rPr>
            </w:r>
            <w:r w:rsidR="00B048E4">
              <w:rPr>
                <w:noProof/>
                <w:webHidden/>
              </w:rPr>
              <w:fldChar w:fldCharType="separate"/>
            </w:r>
            <w:r w:rsidR="00B048E4">
              <w:rPr>
                <w:noProof/>
                <w:webHidden/>
              </w:rPr>
              <w:t>10</w:t>
            </w:r>
            <w:r w:rsidR="00B048E4">
              <w:rPr>
                <w:noProof/>
                <w:webHidden/>
              </w:rPr>
              <w:fldChar w:fldCharType="end"/>
            </w:r>
          </w:hyperlink>
        </w:p>
        <w:p w14:paraId="2C39EB97" w14:textId="087886EA" w:rsidR="00B048E4" w:rsidRDefault="00000000">
          <w:pPr>
            <w:pStyle w:val="TOC2"/>
            <w:rPr>
              <w:rFonts w:asciiTheme="minorHAnsi" w:eastAsiaTheme="minorEastAsia" w:hAnsiTheme="minorHAnsi" w:cstheme="minorBidi"/>
              <w:color w:val="auto"/>
              <w:kern w:val="2"/>
              <w:sz w:val="24"/>
              <w:szCs w:val="24"/>
              <w:lang w:eastAsia="en-AU"/>
              <w14:ligatures w14:val="standardContextual"/>
            </w:rPr>
          </w:pPr>
          <w:hyperlink w:anchor="_Toc199409091" w:history="1">
            <w:r w:rsidR="00B048E4" w:rsidRPr="004E2734">
              <w:rPr>
                <w:rStyle w:val="Hyperlink"/>
              </w:rPr>
              <w:t>Government response to Independent Review recommendations</w:t>
            </w:r>
            <w:r w:rsidR="00B048E4">
              <w:rPr>
                <w:webHidden/>
              </w:rPr>
              <w:tab/>
            </w:r>
            <w:r w:rsidR="00B048E4">
              <w:rPr>
                <w:webHidden/>
              </w:rPr>
              <w:fldChar w:fldCharType="begin"/>
            </w:r>
            <w:r w:rsidR="00B048E4">
              <w:rPr>
                <w:webHidden/>
              </w:rPr>
              <w:instrText xml:space="preserve"> PAGEREF _Toc199409091 \h </w:instrText>
            </w:r>
            <w:r w:rsidR="00B048E4">
              <w:rPr>
                <w:webHidden/>
              </w:rPr>
            </w:r>
            <w:r w:rsidR="00B048E4">
              <w:rPr>
                <w:webHidden/>
              </w:rPr>
              <w:fldChar w:fldCharType="separate"/>
            </w:r>
            <w:r w:rsidR="00B048E4">
              <w:rPr>
                <w:webHidden/>
              </w:rPr>
              <w:t>12</w:t>
            </w:r>
            <w:r w:rsidR="00B048E4">
              <w:rPr>
                <w:webHidden/>
              </w:rPr>
              <w:fldChar w:fldCharType="end"/>
            </w:r>
          </w:hyperlink>
        </w:p>
        <w:p w14:paraId="468DB742" w14:textId="450FC949" w:rsidR="00745EBF" w:rsidRPr="00745EBF" w:rsidRDefault="00745EBF" w:rsidP="00F74936">
          <w:pPr>
            <w:rPr>
              <w:rFonts w:eastAsiaTheme="minorEastAsia"/>
            </w:rPr>
          </w:pPr>
          <w:r w:rsidRPr="000601BE">
            <w:rPr>
              <w:rFonts w:ascii="Arial" w:hAnsi="Arial" w:cs="Arial"/>
            </w:rPr>
            <w:fldChar w:fldCharType="end"/>
          </w:r>
        </w:p>
      </w:sdtContent>
    </w:sdt>
    <w:p w14:paraId="3FA94174" w14:textId="4DCCAD9E" w:rsidR="00745EBF" w:rsidRDefault="00745EBF" w:rsidP="00F74936">
      <w:r>
        <w:br w:type="page"/>
      </w:r>
    </w:p>
    <w:p w14:paraId="65D91BCC" w14:textId="503C8A7A" w:rsidR="009A4C13" w:rsidRPr="00917618" w:rsidRDefault="00D50E88" w:rsidP="007C2602">
      <w:pPr>
        <w:pStyle w:val="Heading1"/>
        <w:spacing w:before="0"/>
      </w:pPr>
      <w:bookmarkStart w:id="1" w:name="_Toc199409083"/>
      <w:r>
        <w:lastRenderedPageBreak/>
        <w:t xml:space="preserve">Ministerial </w:t>
      </w:r>
      <w:r w:rsidR="007854F5">
        <w:t>s</w:t>
      </w:r>
      <w:r>
        <w:t>tatemen</w:t>
      </w:r>
      <w:r w:rsidR="00D92176">
        <w:t>t</w:t>
      </w:r>
      <w:bookmarkEnd w:id="1"/>
    </w:p>
    <w:p w14:paraId="163E0E91" w14:textId="3D99588A" w:rsidR="001B0644" w:rsidRPr="005D661E" w:rsidRDefault="00B048E4" w:rsidP="007854F5">
      <w:pPr>
        <w:pStyle w:val="BodyText"/>
      </w:pPr>
      <w:bookmarkStart w:id="2" w:name="_Toc410916392"/>
      <w:bookmarkStart w:id="3" w:name="_Toc410917288"/>
      <w:bookmarkStart w:id="4" w:name="_Toc410917386"/>
      <w:bookmarkStart w:id="5" w:name="_Toc419195850"/>
      <w:r>
        <w:rPr>
          <w:noProof/>
        </w:rPr>
        <w:drawing>
          <wp:anchor distT="0" distB="180340" distL="180340" distR="252095" simplePos="0" relativeHeight="251687943" behindDoc="0" locked="0" layoutInCell="1" allowOverlap="1" wp14:anchorId="3EE68764" wp14:editId="72E673E6">
            <wp:simplePos x="0" y="0"/>
            <wp:positionH relativeFrom="margin">
              <wp:posOffset>57785</wp:posOffset>
            </wp:positionH>
            <wp:positionV relativeFrom="paragraph">
              <wp:posOffset>5080</wp:posOffset>
            </wp:positionV>
            <wp:extent cx="2993390" cy="3776980"/>
            <wp:effectExtent l="0" t="0" r="0" b="0"/>
            <wp:wrapSquare wrapText="bothSides"/>
            <wp:docPr id="791011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016" t="16831" r="10579" b="4118"/>
                    <a:stretch/>
                  </pic:blipFill>
                  <pic:spPr bwMode="auto">
                    <a:xfrm>
                      <a:off x="0" y="0"/>
                      <a:ext cx="2993390" cy="3776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0644" w:rsidRPr="005D661E">
        <w:t xml:space="preserve">In 2022, our </w:t>
      </w:r>
      <w:proofErr w:type="gramStart"/>
      <w:r w:rsidR="005D661E">
        <w:t>Go</w:t>
      </w:r>
      <w:r w:rsidR="003F1C9C" w:rsidRPr="005D661E">
        <w:t>vernment</w:t>
      </w:r>
      <w:proofErr w:type="gramEnd"/>
      <w:r w:rsidR="001B0644" w:rsidRPr="005D661E">
        <w:t xml:space="preserve"> established Homes Tasmania, a dedicated housing authority responsible for delivering improved housing services and increasing the supply of social and affordable homes across the state.</w:t>
      </w:r>
    </w:p>
    <w:p w14:paraId="65C18F64" w14:textId="472B71D1" w:rsidR="001B0644" w:rsidRPr="005D661E" w:rsidRDefault="001B0644" w:rsidP="007854F5">
      <w:pPr>
        <w:pStyle w:val="BodyText"/>
      </w:pPr>
      <w:r w:rsidRPr="005D661E">
        <w:t>In delivering on this commitment, we recognised th</w:t>
      </w:r>
      <w:r w:rsidR="31046DC2" w:rsidRPr="005D661E">
        <w:t xml:space="preserve">e </w:t>
      </w:r>
      <w:r w:rsidRPr="005D661E">
        <w:t>need to do things differently. Our goal, to deliver a well-functioning housing system that provides safe, appropriate, and affordable homes for all Tasmanians, required a significant shift away from the delivery models that had been used for decades.</w:t>
      </w:r>
    </w:p>
    <w:p w14:paraId="410F7726" w14:textId="4ED444F5" w:rsidR="00B048E4" w:rsidRDefault="001B0644" w:rsidP="007854F5">
      <w:pPr>
        <w:pStyle w:val="BodyText"/>
      </w:pPr>
      <w:r w:rsidRPr="005D661E">
        <w:t xml:space="preserve">By establishing Homes Tasmania, we acknowledged the need for greater innovation, improved efficiency, and faster development, </w:t>
      </w:r>
      <w:r w:rsidR="00B048E4">
        <w:br/>
      </w:r>
      <w:r w:rsidRPr="005D661E">
        <w:t>to get homes built and Tasmanians housed as quickly as possible. Led by a skills-based board, Homes Tasmania is designed to bring together the expertise needed to deliver these homes through partnerships with the private sector and Tasmania’s building and construction industry.</w:t>
      </w:r>
    </w:p>
    <w:p w14:paraId="12B12619" w14:textId="0B5332FB" w:rsidR="001B0644" w:rsidRPr="005D661E" w:rsidRDefault="001B0644" w:rsidP="007854F5">
      <w:pPr>
        <w:pStyle w:val="BodyText"/>
      </w:pPr>
      <w:r w:rsidRPr="005D661E">
        <w:t xml:space="preserve">Ensuring Tasmanians have access to appropriate, affordable, safe, stable and well-located housing at </w:t>
      </w:r>
      <w:r w:rsidR="00B048E4">
        <w:br/>
      </w:r>
      <w:r w:rsidRPr="005D661E">
        <w:t xml:space="preserve">all stages of life </w:t>
      </w:r>
      <w:proofErr w:type="gramStart"/>
      <w:r w:rsidRPr="005D661E">
        <w:t>was</w:t>
      </w:r>
      <w:proofErr w:type="gramEnd"/>
      <w:r w:rsidRPr="005D661E">
        <w:t xml:space="preserve"> the driving reason behind our </w:t>
      </w:r>
      <w:r w:rsidR="00611FC5">
        <w:t>G</w:t>
      </w:r>
      <w:r w:rsidRPr="005D661E">
        <w:t>overnment’s decision to reform the way public and social housing is planned, built, and managed in Tasmania. It was a bold</w:t>
      </w:r>
      <w:r w:rsidR="003F1C9C" w:rsidRPr="005D661E">
        <w:t xml:space="preserve">, </w:t>
      </w:r>
      <w:r w:rsidRPr="005D661E">
        <w:t xml:space="preserve">wide-ranging vision, one that involved modernising </w:t>
      </w:r>
      <w:r w:rsidR="003F1C9C" w:rsidRPr="005D661E">
        <w:t>90-year-old</w:t>
      </w:r>
      <w:r w:rsidRPr="005D661E">
        <w:t xml:space="preserve"> </w:t>
      </w:r>
      <w:r w:rsidR="6C59E131" w:rsidRPr="005D661E">
        <w:t>legislation</w:t>
      </w:r>
      <w:r w:rsidRPr="005D661E">
        <w:t xml:space="preserve"> that no longer reflected the challenges or realities faced by the housing sector today.</w:t>
      </w:r>
    </w:p>
    <w:p w14:paraId="310F46C7" w14:textId="5085B911" w:rsidR="001B0644" w:rsidRPr="005D661E" w:rsidRDefault="001B0644" w:rsidP="007854F5">
      <w:pPr>
        <w:pStyle w:val="BodyText"/>
      </w:pPr>
      <w:r w:rsidRPr="005D661E">
        <w:t>Our target to deliver an additional 10,000 social and affordable homes by 2032 is backed by the largest investment in such housing in Tasmania’s history. Through Homes Tasmania, we have already delivered over 4,300 of these homes. The National Housing Supply and Affordability Council (NHSAC) recently confirmed that Tasmania is the only state in Australia to have increased its share of social housing between 2018 and 2023.</w:t>
      </w:r>
    </w:p>
    <w:p w14:paraId="321B14E3" w14:textId="77777777" w:rsidR="001B0644" w:rsidRPr="005D661E" w:rsidRDefault="001B0644" w:rsidP="007854F5">
      <w:pPr>
        <w:pStyle w:val="BodyText"/>
      </w:pPr>
      <w:r w:rsidRPr="005D661E">
        <w:t>I welcome the Review into Homes Tasmania, conducted by former New South Wales Auditor-General Ms Margaret Crawford PSM, and I acknowledge the Member for Franklin, Mr David O’Byrne MP, for initiating the call for this Review.</w:t>
      </w:r>
    </w:p>
    <w:p w14:paraId="53FD2513" w14:textId="302F04A8" w:rsidR="001B0644" w:rsidRPr="005D661E" w:rsidRDefault="001B0644" w:rsidP="007854F5">
      <w:pPr>
        <w:pStyle w:val="BodyText"/>
      </w:pPr>
      <w:r w:rsidRPr="005D661E">
        <w:t xml:space="preserve">Our ambitious goal of 10,000 </w:t>
      </w:r>
      <w:r w:rsidR="00DC2643">
        <w:t>additional</w:t>
      </w:r>
      <w:r w:rsidRPr="005D661E">
        <w:t xml:space="preserve"> social and affordable homes by 2032 remains firmly in our sights. With seven years to go, the Homes Tasmania dashboard shows we are already approaching the halfway mark. But as this Review highlights, there is more we can do to ensure Homes Tasmania is positioned to meet this target as effectively as possible.</w:t>
      </w:r>
    </w:p>
    <w:p w14:paraId="039CBADF" w14:textId="13628F98" w:rsidR="005276AE" w:rsidRDefault="001B0644" w:rsidP="00D66FF6">
      <w:pPr>
        <w:pStyle w:val="BodyText"/>
      </w:pPr>
      <w:r w:rsidRPr="005D661E">
        <w:t xml:space="preserve">The Review, which examined both Homes Tasmania and the </w:t>
      </w:r>
      <w:r w:rsidRPr="005D661E">
        <w:rPr>
          <w:i/>
        </w:rPr>
        <w:t>Homes Tasmania Act 2022</w:t>
      </w:r>
      <w:r w:rsidRPr="005D661E">
        <w:t xml:space="preserve">, has been timely and appropriate for an organisation now settling into its role. It has identified clear areas for improvement, for both Homes Tasmania and our </w:t>
      </w:r>
      <w:r w:rsidR="00611FC5">
        <w:t>G</w:t>
      </w:r>
      <w:r w:rsidRPr="005D661E">
        <w:t>overnment, to address.</w:t>
      </w:r>
      <w:r w:rsidR="005276AE">
        <w:br w:type="page"/>
      </w:r>
    </w:p>
    <w:p w14:paraId="38476012" w14:textId="08C902C3" w:rsidR="001B0644" w:rsidRPr="005D661E" w:rsidRDefault="001B0644" w:rsidP="007854F5">
      <w:pPr>
        <w:pStyle w:val="BodyText"/>
      </w:pPr>
      <w:r w:rsidRPr="005D661E">
        <w:lastRenderedPageBreak/>
        <w:t xml:space="preserve">Importantly, Ms Crawford’s Review does not find a system that is broken. Rather, it concludes that while there is a strong foundation, Homes Tasmania requires greater clarity of purpose, a stronger strategic direction, a more focused vision and role, and increased flexibility to achieve the outcomes originally envisaged under our housing model. The Review also clarifies the role of </w:t>
      </w:r>
      <w:r w:rsidR="005D661E" w:rsidRPr="005D661E">
        <w:t>g</w:t>
      </w:r>
      <w:r w:rsidRPr="005D661E">
        <w:t xml:space="preserve">overnment, making clear that the responsibility for solving the housing challenge must remain with </w:t>
      </w:r>
      <w:r w:rsidR="005D661E" w:rsidRPr="005D661E">
        <w:t>g</w:t>
      </w:r>
      <w:r w:rsidRPr="005D661E">
        <w:t>overnment, not be shifted solely onto a statutory authority.</w:t>
      </w:r>
    </w:p>
    <w:p w14:paraId="253D6EA1" w14:textId="75C7092C" w:rsidR="001B0644" w:rsidRPr="005D661E" w:rsidRDefault="001B0644" w:rsidP="007854F5">
      <w:pPr>
        <w:pStyle w:val="BodyText"/>
        <w:rPr>
          <w:rFonts w:cs="Arial"/>
        </w:rPr>
      </w:pPr>
      <w:r w:rsidRPr="005D661E">
        <w:rPr>
          <w:rFonts w:cs="Arial"/>
        </w:rPr>
        <w:t>I am especially pleased that Ms Crawford recognised the staff of Homes Tasmania as hardworking, committed, and highly knowledgeable. As with any new organisation, there are new skills to be developed and systems that must evolve and mature. These are matters we will work through to give Homes Tasmania the flexibility and clarity it needs to deliver on its mandate.</w:t>
      </w:r>
    </w:p>
    <w:p w14:paraId="40C9D308" w14:textId="30D7A262" w:rsidR="001B0644" w:rsidRPr="005D661E" w:rsidRDefault="001B0644" w:rsidP="007854F5">
      <w:pPr>
        <w:pStyle w:val="BodyText"/>
      </w:pPr>
      <w:r w:rsidRPr="005D661E">
        <w:t xml:space="preserve">To support this, our </w:t>
      </w:r>
      <w:proofErr w:type="gramStart"/>
      <w:r w:rsidRPr="00D21D99">
        <w:t>Government</w:t>
      </w:r>
      <w:proofErr w:type="gramEnd"/>
      <w:r w:rsidRPr="00D21D99">
        <w:t xml:space="preserve"> will immediately relocate existing policy functions, regulatory responsibilities</w:t>
      </w:r>
      <w:r w:rsidRPr="005D661E">
        <w:t>, and system stewardship from Homes Tasmania to the Department of State Growth.</w:t>
      </w:r>
      <w:r w:rsidR="007854F5">
        <w:br/>
      </w:r>
      <w:r w:rsidRPr="005D661E">
        <w:t>This shift will allow Homes Tasmania to focus squarely on its core responsibilities: building social and affordable housing, delivering tenancy and homelessness services and providing key worker accommodation.</w:t>
      </w:r>
    </w:p>
    <w:p w14:paraId="19B1AAC2" w14:textId="5FA0A34B" w:rsidR="001B0644" w:rsidRPr="005D661E" w:rsidRDefault="001B0644" w:rsidP="007854F5">
      <w:pPr>
        <w:pStyle w:val="BodyText"/>
      </w:pPr>
      <w:r w:rsidRPr="005D661E">
        <w:t>We will also clarify roles and accountabilities, and strengthen the systems and processes that support them, ensuring they are fit for purpose, well understood, efficient and sustainable. This will help set up both Homes Tasmania and our broader housing agenda for long-term success.</w:t>
      </w:r>
    </w:p>
    <w:p w14:paraId="4FF08794" w14:textId="7701A716" w:rsidR="001B0644" w:rsidRPr="005D661E" w:rsidRDefault="001B0644" w:rsidP="007854F5">
      <w:pPr>
        <w:pStyle w:val="BodyText"/>
        <w:rPr>
          <w:rFonts w:cs="Arial"/>
        </w:rPr>
      </w:pPr>
      <w:r w:rsidRPr="005D661E">
        <w:t xml:space="preserve">I thank Ms Crawford for her diligence and commitment in undertaking this Review, and I acknowledge the secretariat team that supported her work. I also thank the many stakeholders </w:t>
      </w:r>
      <w:r w:rsidRPr="005D661E">
        <w:rPr>
          <w:rFonts w:cs="Arial"/>
        </w:rPr>
        <w:t>who took the time to meet with Ms Crawford and contribute to her findings.</w:t>
      </w:r>
    </w:p>
    <w:p w14:paraId="598E0DF5" w14:textId="3283C5D2" w:rsidR="001B0644" w:rsidRPr="005D661E" w:rsidRDefault="001B0644" w:rsidP="007854F5">
      <w:pPr>
        <w:pStyle w:val="BodyText"/>
        <w:rPr>
          <w:rFonts w:cs="Arial"/>
        </w:rPr>
      </w:pPr>
      <w:r w:rsidRPr="005D661E">
        <w:rPr>
          <w:rFonts w:cs="Arial"/>
        </w:rPr>
        <w:t>The Tasmanian Government’s response to the recommendations of Ms Crawford’s Review is outlined in this document. As flagged in the Review, I look forward to working closely across government and with local councils, the building and construction industry, and with community housing and homelessness organisations, to ensure more Tasmanians have access to safe, appropriate, and affordable housing.</w:t>
      </w:r>
    </w:p>
    <w:p w14:paraId="39BA5E00" w14:textId="77777777" w:rsidR="001B0644" w:rsidRPr="005D661E" w:rsidRDefault="001B0644" w:rsidP="007854F5">
      <w:pPr>
        <w:pStyle w:val="BodyText"/>
      </w:pPr>
      <w:r w:rsidRPr="005D661E">
        <w:t>Finally, I once again thank Ms Crawford for her thoughtful engagement with so many Tasmanians and her valuable contribution to the future of housing in our state.</w:t>
      </w:r>
    </w:p>
    <w:p w14:paraId="3A844FE9" w14:textId="4DD0CFEC" w:rsidR="23C9CD59" w:rsidRPr="005D661E" w:rsidRDefault="23C9CD59" w:rsidP="007854F5">
      <w:pPr>
        <w:pStyle w:val="BodyText"/>
      </w:pPr>
    </w:p>
    <w:p w14:paraId="31B13F04" w14:textId="5D79C782" w:rsidR="00826C41" w:rsidRPr="005D661E" w:rsidRDefault="00C2642E" w:rsidP="007854F5">
      <w:pPr>
        <w:pStyle w:val="BodyText"/>
        <w:rPr>
          <w:rFonts w:cs="Arial"/>
          <w:b/>
          <w:bCs/>
          <w:color w:val="333333"/>
        </w:rPr>
      </w:pPr>
      <w:r w:rsidRPr="005D661E">
        <w:rPr>
          <w:rFonts w:cs="Arial"/>
          <w:b/>
          <w:bCs/>
          <w:color w:val="333333"/>
        </w:rPr>
        <w:t xml:space="preserve">Hon </w:t>
      </w:r>
      <w:r w:rsidR="00826C41" w:rsidRPr="005D661E">
        <w:rPr>
          <w:rFonts w:cs="Arial"/>
          <w:b/>
          <w:bCs/>
          <w:color w:val="333333"/>
        </w:rPr>
        <w:t>Felix Ellis</w:t>
      </w:r>
      <w:r w:rsidRPr="005D661E">
        <w:rPr>
          <w:rFonts w:cs="Arial"/>
          <w:b/>
          <w:bCs/>
          <w:color w:val="333333"/>
        </w:rPr>
        <w:t xml:space="preserve"> MP</w:t>
      </w:r>
    </w:p>
    <w:p w14:paraId="77CB4355" w14:textId="5DDBAC6D" w:rsidR="005C3B54" w:rsidRDefault="00826C41" w:rsidP="007854F5">
      <w:pPr>
        <w:pStyle w:val="BodyText"/>
        <w:rPr>
          <w:rFonts w:cs="Arial"/>
          <w:color w:val="333333"/>
        </w:rPr>
      </w:pPr>
      <w:r w:rsidRPr="005D661E">
        <w:rPr>
          <w:rFonts w:cs="Arial"/>
          <w:color w:val="333333"/>
        </w:rPr>
        <w:t>Minister for Housing, Planning and Consumer Affairs</w:t>
      </w:r>
    </w:p>
    <w:p w14:paraId="4F72A7D7" w14:textId="77777777" w:rsidR="005C3B54" w:rsidRDefault="005C3B54">
      <w:pPr>
        <w:rPr>
          <w:rFonts w:ascii="Arial" w:hAnsi="Arial" w:cs="Arial"/>
          <w:color w:val="333333"/>
          <w:lang w:eastAsia="en-AU"/>
        </w:rPr>
      </w:pPr>
      <w:r>
        <w:rPr>
          <w:rFonts w:ascii="Arial" w:hAnsi="Arial" w:cs="Arial"/>
          <w:color w:val="333333"/>
        </w:rPr>
        <w:br w:type="page"/>
      </w:r>
    </w:p>
    <w:p w14:paraId="65EC1C70" w14:textId="43DAFAFC" w:rsidR="009A4C13" w:rsidRDefault="00D50E88" w:rsidP="00521515">
      <w:pPr>
        <w:pStyle w:val="Heading1"/>
        <w:spacing w:before="0"/>
      </w:pPr>
      <w:bookmarkStart w:id="6" w:name="_Toc199409084"/>
      <w:bookmarkEnd w:id="2"/>
      <w:bookmarkEnd w:id="3"/>
      <w:bookmarkEnd w:id="4"/>
      <w:bookmarkEnd w:id="5"/>
      <w:r>
        <w:lastRenderedPageBreak/>
        <w:t xml:space="preserve">Why </w:t>
      </w:r>
      <w:r w:rsidR="00A06340">
        <w:t>we did</w:t>
      </w:r>
      <w:r>
        <w:t xml:space="preserve"> this review</w:t>
      </w:r>
      <w:bookmarkEnd w:id="6"/>
    </w:p>
    <w:p w14:paraId="66169D6D" w14:textId="30DAB499" w:rsidR="00116909" w:rsidRPr="00116909" w:rsidRDefault="00116909" w:rsidP="00116909">
      <w:pPr>
        <w:pStyle w:val="BodyText"/>
      </w:pPr>
      <w:r w:rsidRPr="00116909">
        <w:t>On 22 November 2024, in response to a motion moved by the Member for Franklin, Mr David O’Byrne M</w:t>
      </w:r>
      <w:r w:rsidR="00BE6304">
        <w:t>P</w:t>
      </w:r>
      <w:r w:rsidRPr="00116909">
        <w:t>, calling for a review of Homes Tasmania, Premier Jeremy Rockliff MP appointed Ms Margaret Crawford PSM to lead an independent, targeted review of the organisation.</w:t>
      </w:r>
    </w:p>
    <w:p w14:paraId="7F95D4D0" w14:textId="6CB8C357" w:rsidR="00116909" w:rsidRPr="00116909" w:rsidRDefault="00116909" w:rsidP="00116909">
      <w:pPr>
        <w:pStyle w:val="BodyText"/>
      </w:pPr>
      <w:r w:rsidRPr="00116909">
        <w:t xml:space="preserve">That review is now complete. It provides an objective assessment of how Homes Tasmania has performed in its first two years of operation and in delivering on its foundational promise. </w:t>
      </w:r>
    </w:p>
    <w:p w14:paraId="0CA23D4F" w14:textId="6B236AE6" w:rsidR="00116909" w:rsidRPr="00116909" w:rsidRDefault="00116909" w:rsidP="00116909">
      <w:pPr>
        <w:pStyle w:val="BodyText"/>
      </w:pPr>
      <w:r w:rsidRPr="00116909">
        <w:t>The Review makes 20 recommendations, and this report outlines the Tasmanian Government’s response to those recommendations and findings.</w:t>
      </w:r>
    </w:p>
    <w:p w14:paraId="4716C9F4" w14:textId="554E2774" w:rsidR="00116909" w:rsidRPr="00116909" w:rsidRDefault="00116909" w:rsidP="00116909">
      <w:pPr>
        <w:pStyle w:val="BodyText"/>
      </w:pPr>
      <w:r w:rsidRPr="00116909">
        <w:t>The Government remains firmly committed to ensuring Homes Tasmania successfully delivers housing, homelessness, and crisis accommodation services to Tasmanians. This Review has offered a valuable opportunity to evaluate the effectiveness of the Homes Tasmania model in addressing the challenges of housing supply and homelessness.</w:t>
      </w:r>
    </w:p>
    <w:p w14:paraId="504E6FB4" w14:textId="525091BC" w:rsidR="00116909" w:rsidRPr="00116909" w:rsidRDefault="00116909" w:rsidP="00116909">
      <w:pPr>
        <w:pStyle w:val="BodyText"/>
      </w:pPr>
      <w:r w:rsidRPr="00116909">
        <w:t>The Review focused on several key areas: the effectiveness of Homes Tasmania’s roles and responsibilities, its reporting and accountability frameworks, and its engagement and collaboration with stakeholders</w:t>
      </w:r>
      <w:r>
        <w:t>,</w:t>
      </w:r>
      <w:r w:rsidRPr="00116909">
        <w:t xml:space="preserve"> including the Tasmanian building and construction sector, particularly in relation to procurement arrangements.</w:t>
      </w:r>
    </w:p>
    <w:p w14:paraId="30D6DBAE" w14:textId="45A00A61" w:rsidR="009A4C13" w:rsidRPr="00365C80" w:rsidRDefault="005276AE" w:rsidP="009443A6">
      <w:pPr>
        <w:pStyle w:val="BodyText"/>
      </w:pPr>
      <w:r>
        <w:rPr>
          <w:noProof/>
        </w:rPr>
        <w:drawing>
          <wp:anchor distT="0" distB="0" distL="114300" distR="114300" simplePos="0" relativeHeight="251674631" behindDoc="1" locked="0" layoutInCell="1" allowOverlap="1" wp14:anchorId="27BB156A" wp14:editId="4F3145BE">
            <wp:simplePos x="0" y="0"/>
            <wp:positionH relativeFrom="margin">
              <wp:posOffset>0</wp:posOffset>
            </wp:positionH>
            <wp:positionV relativeFrom="paragraph">
              <wp:posOffset>249555</wp:posOffset>
            </wp:positionV>
            <wp:extent cx="6371862" cy="4247908"/>
            <wp:effectExtent l="0" t="0" r="0" b="635"/>
            <wp:wrapSquare wrapText="bothSides"/>
            <wp:docPr id="174527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71862" cy="42479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E88">
        <w:rPr>
          <w:rStyle w:val="Instructions"/>
        </w:rPr>
        <w:br w:type="page"/>
      </w:r>
    </w:p>
    <w:p w14:paraId="1C9B5860" w14:textId="5673BED6" w:rsidR="00D50E88" w:rsidRDefault="005276AE" w:rsidP="00D50E88">
      <w:pPr>
        <w:pStyle w:val="Heading1"/>
        <w:spacing w:before="0"/>
      </w:pPr>
      <w:bookmarkStart w:id="7" w:name="_Toc199409085"/>
      <w:r>
        <w:rPr>
          <w:noProof/>
        </w:rPr>
        <w:lastRenderedPageBreak/>
        <w:drawing>
          <wp:anchor distT="0" distB="0" distL="114300" distR="114300" simplePos="0" relativeHeight="251676679" behindDoc="1" locked="0" layoutInCell="1" allowOverlap="1" wp14:anchorId="316D04EA" wp14:editId="65CD3063">
            <wp:simplePos x="0" y="0"/>
            <wp:positionH relativeFrom="margin">
              <wp:align>left</wp:align>
            </wp:positionH>
            <wp:positionV relativeFrom="paragraph">
              <wp:posOffset>347</wp:posOffset>
            </wp:positionV>
            <wp:extent cx="6477000" cy="4312920"/>
            <wp:effectExtent l="0" t="0" r="0" b="0"/>
            <wp:wrapSquare wrapText="bothSides"/>
            <wp:docPr id="1306824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7000" cy="4312920"/>
                    </a:xfrm>
                    <a:prstGeom prst="rect">
                      <a:avLst/>
                    </a:prstGeom>
                    <a:noFill/>
                    <a:ln>
                      <a:noFill/>
                    </a:ln>
                  </pic:spPr>
                </pic:pic>
              </a:graphicData>
            </a:graphic>
            <wp14:sizeRelV relativeFrom="margin">
              <wp14:pctHeight>0</wp14:pctHeight>
            </wp14:sizeRelV>
          </wp:anchor>
        </w:drawing>
      </w:r>
      <w:r>
        <w:br/>
      </w:r>
      <w:r w:rsidR="00D50E88">
        <w:t>What has the review told us?</w:t>
      </w:r>
      <w:bookmarkEnd w:id="7"/>
    </w:p>
    <w:p w14:paraId="3BEC4A4C" w14:textId="65E38D99" w:rsidR="00EB5422" w:rsidRPr="00EB5422" w:rsidRDefault="00EB5422" w:rsidP="00EB5422">
      <w:pPr>
        <w:pStyle w:val="BodyText"/>
      </w:pPr>
      <w:r w:rsidRPr="00EB5422">
        <w:t>Homes Tasmania was established as a more agile, commercial, and innovative mechanism for the Tasmanian Government to work with industry, the private sector, and the social housing and homelessness sectors to improve housing outcomes and expand opportunities for people in need. The model was designed to harness flexible, collaborative partnerships by aligning government programs across the entire housing supply continuum.</w:t>
      </w:r>
    </w:p>
    <w:p w14:paraId="72EB1D0C" w14:textId="527E4DB6" w:rsidR="00EB5422" w:rsidRPr="00EB5422" w:rsidRDefault="00EB5422" w:rsidP="00EB5422">
      <w:pPr>
        <w:pStyle w:val="BodyText"/>
      </w:pPr>
      <w:r w:rsidRPr="00EB5422">
        <w:t>In parallel, the Tasmanian Housing Strategy includes a clear commitment to delivering a well-functioning housing system</w:t>
      </w:r>
      <w:r>
        <w:t>,</w:t>
      </w:r>
      <w:r w:rsidRPr="00EB5422">
        <w:t xml:space="preserve"> one that provides safe, appropriate, and affordable housing for all Tasmanians. Homes Tasmania continues to play a central role in implementing actions under this </w:t>
      </w:r>
      <w:r w:rsidR="004748BC">
        <w:t>s</w:t>
      </w:r>
      <w:r w:rsidRPr="00EB5422">
        <w:t>trategy.</w:t>
      </w:r>
    </w:p>
    <w:p w14:paraId="40C65497" w14:textId="30FCBD59" w:rsidR="00EB5422" w:rsidRPr="00EB5422" w:rsidRDefault="00EB5422" w:rsidP="00EB5422">
      <w:pPr>
        <w:pStyle w:val="BodyText"/>
      </w:pPr>
      <w:r w:rsidRPr="00EB5422">
        <w:t>However, the Review found that the current arrangements intended to support Homes Tasmania in forming innovative and flexible partnerships</w:t>
      </w:r>
      <w:r>
        <w:t>,</w:t>
      </w:r>
      <w:r w:rsidRPr="00EB5422">
        <w:t xml:space="preserve"> particularly to accelerate housing supply</w:t>
      </w:r>
      <w:r>
        <w:t>,</w:t>
      </w:r>
      <w:r w:rsidRPr="00EB5422">
        <w:t xml:space="preserve"> are not operating as originally envisioned</w:t>
      </w:r>
      <w:r w:rsidR="002D43DF">
        <w:t xml:space="preserve"> and stakeholder </w:t>
      </w:r>
      <w:r w:rsidR="00F30EC8">
        <w:t>support is decreasing</w:t>
      </w:r>
      <w:r w:rsidRPr="00EB5422">
        <w:t>.</w:t>
      </w:r>
    </w:p>
    <w:p w14:paraId="61B94010" w14:textId="29CEDB2D" w:rsidR="005C3B54" w:rsidRDefault="00EB5422" w:rsidP="00835655">
      <w:pPr>
        <w:pStyle w:val="BodyText"/>
      </w:pPr>
      <w:r w:rsidRPr="00EB5422">
        <w:t>The Review examined the role of Homes Tasmania’s skills-based board, and whether the expectations placed on the organisation by Government, along with the operational controls imposed, have enabled or hindered its success.</w:t>
      </w:r>
      <w:r w:rsidR="00E56AB2">
        <w:t xml:space="preserve"> </w:t>
      </w:r>
      <w:r w:rsidRPr="00EB5422">
        <w:t>Ultimately, the Review identified four key areas for improvement to better support Homes Tasmania in delivering on its mandate.</w:t>
      </w:r>
      <w:r w:rsidR="005C3B54">
        <w:br w:type="page"/>
      </w:r>
    </w:p>
    <w:p w14:paraId="3FB8ADEB" w14:textId="7F56E503" w:rsidR="00D50E88" w:rsidRPr="00DB3927" w:rsidRDefault="00D50E88" w:rsidP="000E2CE9">
      <w:pPr>
        <w:pStyle w:val="Heading3"/>
        <w:numPr>
          <w:ilvl w:val="0"/>
          <w:numId w:val="23"/>
        </w:numPr>
        <w:rPr>
          <w:color w:val="002060"/>
        </w:rPr>
      </w:pPr>
      <w:bookmarkStart w:id="8" w:name="_Toc199409086"/>
      <w:r w:rsidRPr="00DB3927">
        <w:rPr>
          <w:color w:val="002060"/>
        </w:rPr>
        <w:lastRenderedPageBreak/>
        <w:t>System governance and performance needs to be improved</w:t>
      </w:r>
      <w:bookmarkEnd w:id="8"/>
    </w:p>
    <w:p w14:paraId="10B2B239" w14:textId="389061F8" w:rsidR="00BC286D" w:rsidRPr="00BC286D" w:rsidRDefault="00BC286D" w:rsidP="00BC286D">
      <w:pPr>
        <w:pStyle w:val="BodyText"/>
      </w:pPr>
      <w:r w:rsidRPr="00BC286D">
        <w:t>The Review found that decision-making and accountability between the responsibilities of the Homes Tasmania Board and the Minister’s accountability to the Parliament for the performance of Homes Tasmania are currently unclear.</w:t>
      </w:r>
    </w:p>
    <w:p w14:paraId="6514F163" w14:textId="77777777" w:rsidR="00B30C11" w:rsidRDefault="00BC286D" w:rsidP="00BC286D">
      <w:pPr>
        <w:pStyle w:val="BodyText"/>
      </w:pPr>
      <w:r w:rsidRPr="00BC286D">
        <w:t xml:space="preserve">The </w:t>
      </w:r>
      <w:r w:rsidRPr="00BC286D">
        <w:rPr>
          <w:i/>
          <w:iCs/>
        </w:rPr>
        <w:t>Homes Tasmania Act 2022</w:t>
      </w:r>
      <w:r w:rsidRPr="007C2602">
        <w:t xml:space="preserve"> </w:t>
      </w:r>
      <w:r w:rsidRPr="00BC286D">
        <w:t xml:space="preserve">intends for Homes Tasmania to be governed by a skills-based board. The Review found that current governance practices have evolved into the board taking on more of an advisory role, as opposed to a governance role, as Homes Tasmania has needed to seek Government policy direction. </w:t>
      </w:r>
    </w:p>
    <w:p w14:paraId="326BE5DC" w14:textId="0BEED959" w:rsidR="00BC286D" w:rsidRPr="00BC286D" w:rsidRDefault="00BC286D" w:rsidP="00BC286D">
      <w:pPr>
        <w:pStyle w:val="BodyText"/>
      </w:pPr>
      <w:r w:rsidRPr="00BC286D">
        <w:t xml:space="preserve">The Review noted it is crucial that the Government clarify the role of the Board of Homes Tasmania — either as an advisory board or as a governance board empowered to manage the authority, consistent with </w:t>
      </w:r>
      <w:r w:rsidR="00611FC5">
        <w:t>G</w:t>
      </w:r>
      <w:r w:rsidRPr="00BC286D">
        <w:t>overnment policy, but at arm’s length from the Minister.</w:t>
      </w:r>
    </w:p>
    <w:p w14:paraId="705E08C1" w14:textId="514C35D0" w:rsidR="00BC286D" w:rsidRPr="00BC286D" w:rsidRDefault="00BC286D" w:rsidP="00BC286D">
      <w:pPr>
        <w:pStyle w:val="BodyText"/>
      </w:pPr>
      <w:r w:rsidRPr="00BC286D">
        <w:t>There is recognition across government and the housing sector that relying on output-based performance metrics as a measure of success, ahead of service impacts and outcomes for individuals, undermines the ability to understand both the focus and effectiveness of service delivery and support. The absence of comprehensive data and the inconsistent use of platforms impede effective tracking and support of homeless populations.</w:t>
      </w:r>
    </w:p>
    <w:p w14:paraId="6282BA2A" w14:textId="7EAE69A5" w:rsidR="005C3B54" w:rsidRDefault="00BC286D" w:rsidP="00BC286D">
      <w:pPr>
        <w:pStyle w:val="BodyText"/>
      </w:pPr>
      <w:r w:rsidRPr="00BC286D">
        <w:t>The Review found that public reporting mechanisms which provide transparent reporting on the activities and performance of Homes Tasmania are effective; however, there is a gap in the clear communication of plans for future programs and the development pipeline. The Review proposes increasing the metrics included in public reporting to support better reporting on asset projections and project management.</w:t>
      </w:r>
    </w:p>
    <w:p w14:paraId="188BE6F8" w14:textId="7D515FF9" w:rsidR="00F9153E" w:rsidRPr="00DB3927" w:rsidRDefault="00D50E88" w:rsidP="000E2CE9">
      <w:pPr>
        <w:pStyle w:val="Heading3"/>
        <w:numPr>
          <w:ilvl w:val="0"/>
          <w:numId w:val="23"/>
        </w:numPr>
        <w:rPr>
          <w:color w:val="002060"/>
        </w:rPr>
      </w:pPr>
      <w:bookmarkStart w:id="9" w:name="_Toc199409087"/>
      <w:r w:rsidRPr="00DB3927">
        <w:rPr>
          <w:color w:val="002060"/>
        </w:rPr>
        <w:t>System stewardship needs to be a key focus</w:t>
      </w:r>
      <w:bookmarkEnd w:id="9"/>
    </w:p>
    <w:p w14:paraId="3709FE4D" w14:textId="77777777" w:rsidR="00302955" w:rsidRDefault="008A7417" w:rsidP="00A72D7B">
      <w:pPr>
        <w:pStyle w:val="BodyText"/>
      </w:pPr>
      <w:r>
        <w:t xml:space="preserve">System stewardship is a holistic approach to governance that acknowledges the complex and adaptive nature of developing policy and delivering services to members of the community. </w:t>
      </w:r>
      <w:r w:rsidR="00990391">
        <w:t xml:space="preserve">Federal, state and local governments all play a role in responding to issues relating to housing supply and homelessness. </w:t>
      </w:r>
    </w:p>
    <w:p w14:paraId="013FBE5D" w14:textId="2685963B" w:rsidR="00E81752" w:rsidRDefault="00990391" w:rsidP="00A72D7B">
      <w:pPr>
        <w:pStyle w:val="BodyText"/>
      </w:pPr>
      <w:r>
        <w:t xml:space="preserve">Many of the factors that improve housing outcomes are outside of the control of Homes Tasmania, such as </w:t>
      </w:r>
      <w:r w:rsidRPr="001A4F9E">
        <w:t xml:space="preserve">taxes and charges, labour and </w:t>
      </w:r>
      <w:r>
        <w:t>migration</w:t>
      </w:r>
      <w:r w:rsidRPr="001A4F9E">
        <w:t xml:space="preserve"> policy, land release and planning reform, infrastructure development, industry facilitation, direct funding and partnerships.</w:t>
      </w:r>
      <w:r>
        <w:t xml:space="preserve"> </w:t>
      </w:r>
    </w:p>
    <w:p w14:paraId="40C2CE84" w14:textId="4390DB41" w:rsidR="00E56AB2" w:rsidRDefault="00403E21" w:rsidP="007854F5">
      <w:pPr>
        <w:pStyle w:val="BodyText"/>
      </w:pPr>
      <w:r>
        <w:t xml:space="preserve">The </w:t>
      </w:r>
      <w:r w:rsidR="00736C1C">
        <w:t>R</w:t>
      </w:r>
      <w:r w:rsidR="00E81752">
        <w:t xml:space="preserve">eview again found that there was duplication between the </w:t>
      </w:r>
      <w:r>
        <w:t xml:space="preserve">Department of State Growth </w:t>
      </w:r>
      <w:r w:rsidR="00E81752">
        <w:t xml:space="preserve">and </w:t>
      </w:r>
      <w:r w:rsidR="000B4475">
        <w:t>Homes Tasmania in</w:t>
      </w:r>
      <w:r w:rsidR="005D1D19">
        <w:t xml:space="preserve"> providing</w:t>
      </w:r>
      <w:r w:rsidR="000B4475">
        <w:t xml:space="preserve"> </w:t>
      </w:r>
      <w:r w:rsidR="001733A6">
        <w:t xml:space="preserve">strategic </w:t>
      </w:r>
      <w:r w:rsidR="005D1D19">
        <w:t xml:space="preserve">and </w:t>
      </w:r>
      <w:r w:rsidR="001733A6">
        <w:t xml:space="preserve">policy </w:t>
      </w:r>
      <w:r w:rsidR="005D1D19">
        <w:t>advice</w:t>
      </w:r>
      <w:r w:rsidR="001733A6">
        <w:t xml:space="preserve">, and </w:t>
      </w:r>
      <w:r w:rsidR="000B4475">
        <w:t>who was providing this system stewardship role needed to be clarified.</w:t>
      </w:r>
    </w:p>
    <w:p w14:paraId="273821BC" w14:textId="77777777" w:rsidR="00E56AB2" w:rsidRDefault="00E56AB2">
      <w:pPr>
        <w:rPr>
          <w:rFonts w:ascii="Arial" w:hAnsi="Arial"/>
        </w:rPr>
      </w:pPr>
      <w:r>
        <w:br w:type="page"/>
      </w:r>
    </w:p>
    <w:p w14:paraId="3394D637" w14:textId="41964D22" w:rsidR="00D50E88" w:rsidRPr="00DB3927" w:rsidRDefault="00D50E88" w:rsidP="000E2CE9">
      <w:pPr>
        <w:pStyle w:val="Heading3"/>
        <w:numPr>
          <w:ilvl w:val="0"/>
          <w:numId w:val="23"/>
        </w:numPr>
        <w:rPr>
          <w:color w:val="002060"/>
        </w:rPr>
      </w:pPr>
      <w:bookmarkStart w:id="10" w:name="_Toc199409088"/>
      <w:r w:rsidRPr="00DB3927">
        <w:rPr>
          <w:color w:val="002060"/>
        </w:rPr>
        <w:lastRenderedPageBreak/>
        <w:t xml:space="preserve">Housing </w:t>
      </w:r>
      <w:r w:rsidR="00D4005C">
        <w:rPr>
          <w:color w:val="002060"/>
        </w:rPr>
        <w:t>a</w:t>
      </w:r>
      <w:r w:rsidRPr="00DB3927">
        <w:rPr>
          <w:color w:val="002060"/>
        </w:rPr>
        <w:t xml:space="preserve">ccessibility and </w:t>
      </w:r>
      <w:r w:rsidR="00D4005C">
        <w:rPr>
          <w:color w:val="002060"/>
        </w:rPr>
        <w:t>s</w:t>
      </w:r>
      <w:r w:rsidRPr="00DB3927">
        <w:rPr>
          <w:color w:val="002060"/>
        </w:rPr>
        <w:t>upply is best served by long term policy consistency</w:t>
      </w:r>
      <w:bookmarkEnd w:id="10"/>
    </w:p>
    <w:p w14:paraId="5C51BFC9" w14:textId="673FF001" w:rsidR="0069486F" w:rsidRDefault="00882097" w:rsidP="00A72D7B">
      <w:pPr>
        <w:pStyle w:val="BodyText"/>
      </w:pPr>
      <w:r>
        <w:t xml:space="preserve">The Review </w:t>
      </w:r>
      <w:r w:rsidR="0041200C">
        <w:t xml:space="preserve">states </w:t>
      </w:r>
      <w:r w:rsidR="0069486F">
        <w:t xml:space="preserve">that </w:t>
      </w:r>
      <w:r w:rsidR="00A65538">
        <w:t>a</w:t>
      </w:r>
      <w:r w:rsidR="00A65538" w:rsidRPr="00A65538">
        <w:t xml:space="preserve"> lack of certainty of funding and public policy constraints imposed on the organisation were</w:t>
      </w:r>
      <w:r w:rsidR="00A65538" w:rsidRPr="00A65538" w:rsidDel="00003E61">
        <w:t xml:space="preserve"> </w:t>
      </w:r>
      <w:r w:rsidR="00A65538" w:rsidRPr="00A65538">
        <w:t>impacting Homes Tasmania’s ability to innovate and achieve leverage through creative partnerships with other housing providers.</w:t>
      </w:r>
    </w:p>
    <w:p w14:paraId="31699CAD" w14:textId="0920461B" w:rsidR="007854F5" w:rsidRDefault="00A65538" w:rsidP="00A72D7B">
      <w:pPr>
        <w:pStyle w:val="BodyText"/>
      </w:pPr>
      <w:r>
        <w:t xml:space="preserve">The Review notes </w:t>
      </w:r>
      <w:r w:rsidR="00882097">
        <w:t>that</w:t>
      </w:r>
      <w:r w:rsidR="001668D9">
        <w:t xml:space="preserve"> </w:t>
      </w:r>
      <w:r w:rsidR="00003E61">
        <w:t xml:space="preserve">it </w:t>
      </w:r>
      <w:r w:rsidR="001668D9">
        <w:t xml:space="preserve">is important </w:t>
      </w:r>
      <w:r w:rsidR="00882097">
        <w:t>for</w:t>
      </w:r>
      <w:r w:rsidR="001668D9">
        <w:t xml:space="preserve"> </w:t>
      </w:r>
      <w:r w:rsidR="00736C1C">
        <w:t>the G</w:t>
      </w:r>
      <w:r w:rsidR="001668D9">
        <w:t xml:space="preserve">overnment </w:t>
      </w:r>
      <w:r w:rsidR="00882097">
        <w:t xml:space="preserve">to </w:t>
      </w:r>
      <w:r w:rsidR="001668D9">
        <w:t>recognis</w:t>
      </w:r>
      <w:r w:rsidR="00882097">
        <w:t>e</w:t>
      </w:r>
      <w:r w:rsidR="001668D9">
        <w:t xml:space="preserve"> </w:t>
      </w:r>
      <w:r w:rsidR="00F07611">
        <w:t xml:space="preserve">that long term policy consistency is key to </w:t>
      </w:r>
      <w:r w:rsidR="00E42C9D">
        <w:t>effectively tackling housing and homelessness</w:t>
      </w:r>
      <w:r w:rsidR="001668D9">
        <w:t xml:space="preserve">. </w:t>
      </w:r>
      <w:r w:rsidR="007536BA">
        <w:t>Increasing</w:t>
      </w:r>
      <w:r w:rsidR="0068161F">
        <w:t xml:space="preserve"> the stock of housing, especially social housing</w:t>
      </w:r>
      <w:r w:rsidR="00736C1C">
        <w:t>,</w:t>
      </w:r>
      <w:r w:rsidR="0068161F">
        <w:t xml:space="preserve"> is a long</w:t>
      </w:r>
      <w:r w:rsidR="00E34E81">
        <w:t>-</w:t>
      </w:r>
      <w:r w:rsidR="0068161F">
        <w:t xml:space="preserve">term challenge that is compounded by the annual nature of </w:t>
      </w:r>
      <w:r w:rsidR="00882097">
        <w:t>current funding models</w:t>
      </w:r>
      <w:r w:rsidR="0068161F">
        <w:t xml:space="preserve">. </w:t>
      </w:r>
    </w:p>
    <w:p w14:paraId="510F3A90" w14:textId="0191BD4C" w:rsidR="00D50E88" w:rsidRPr="00DB3927" w:rsidRDefault="00D50E88" w:rsidP="000E2CE9">
      <w:pPr>
        <w:pStyle w:val="Heading3"/>
        <w:numPr>
          <w:ilvl w:val="0"/>
          <w:numId w:val="23"/>
        </w:numPr>
        <w:rPr>
          <w:color w:val="002060"/>
        </w:rPr>
      </w:pPr>
      <w:bookmarkStart w:id="11" w:name="_Toc199409089"/>
      <w:r w:rsidRPr="00DB3927">
        <w:rPr>
          <w:color w:val="002060"/>
        </w:rPr>
        <w:t xml:space="preserve">Service </w:t>
      </w:r>
      <w:r w:rsidR="00D4005C">
        <w:rPr>
          <w:color w:val="002060"/>
        </w:rPr>
        <w:t>d</w:t>
      </w:r>
      <w:r w:rsidR="2D94D714" w:rsidRPr="73F435DA">
        <w:rPr>
          <w:color w:val="002060"/>
        </w:rPr>
        <w:t>e</w:t>
      </w:r>
      <w:r w:rsidRPr="73F435DA">
        <w:rPr>
          <w:color w:val="002060"/>
        </w:rPr>
        <w:t>livery</w:t>
      </w:r>
      <w:r w:rsidRPr="00DB3927">
        <w:rPr>
          <w:color w:val="002060"/>
        </w:rPr>
        <w:t xml:space="preserve"> and support needs to be streamlined</w:t>
      </w:r>
      <w:bookmarkEnd w:id="11"/>
    </w:p>
    <w:p w14:paraId="4FA67013" w14:textId="2ACA8BB4" w:rsidR="00A72D7B" w:rsidRDefault="00FC11C8" w:rsidP="00A72D7B">
      <w:pPr>
        <w:pStyle w:val="BodyText"/>
      </w:pPr>
      <w:r>
        <w:t>The Review noted that c</w:t>
      </w:r>
      <w:r w:rsidR="002E4EF3">
        <w:t xml:space="preserve">urrent demand for assistance </w:t>
      </w:r>
      <w:r w:rsidR="003B4E2F">
        <w:t>with</w:t>
      </w:r>
      <w:r w:rsidR="002E4EF3">
        <w:t xml:space="preserve"> shelter and homelessness support is outpacing available service responses. T</w:t>
      </w:r>
      <w:r w:rsidR="00882097">
        <w:t>he Review found t</w:t>
      </w:r>
      <w:r w:rsidR="002E4EF3">
        <w:t>his issue is not attribut</w:t>
      </w:r>
      <w:r w:rsidR="00B268D1">
        <w:t>ed</w:t>
      </w:r>
      <w:r w:rsidR="002E4EF3">
        <w:t xml:space="preserve"> to the structure and operations of Homes Tasmania, however the impact o</w:t>
      </w:r>
      <w:r w:rsidR="002A22A4">
        <w:t>f</w:t>
      </w:r>
      <w:r w:rsidR="002E4EF3">
        <w:t xml:space="preserve"> th</w:t>
      </w:r>
      <w:r w:rsidR="00B268D1">
        <w:t>ese</w:t>
      </w:r>
      <w:r w:rsidR="002E4EF3">
        <w:t xml:space="preserve"> delay</w:t>
      </w:r>
      <w:r w:rsidR="00B268D1">
        <w:t>s</w:t>
      </w:r>
      <w:r w:rsidR="002E4EF3">
        <w:t xml:space="preserve"> in service delivery to </w:t>
      </w:r>
      <w:r w:rsidR="007A26D2">
        <w:t xml:space="preserve">the Tasmanian community </w:t>
      </w:r>
      <w:r w:rsidR="00B268D1">
        <w:t>are</w:t>
      </w:r>
      <w:r w:rsidR="002E4EF3">
        <w:t xml:space="preserve"> significant. </w:t>
      </w:r>
    </w:p>
    <w:p w14:paraId="0BE87261" w14:textId="2DDC720A" w:rsidR="00DC124E" w:rsidRDefault="007A26D2" w:rsidP="3A8B9972">
      <w:pPr>
        <w:pStyle w:val="BodyText"/>
      </w:pPr>
      <w:r>
        <w:t xml:space="preserve">The Review heard of specific challenges relating to Housing Connect and the housing register, service compliance with the </w:t>
      </w:r>
      <w:r>
        <w:rPr>
          <w:i/>
          <w:iCs/>
        </w:rPr>
        <w:t>Residential Tenancy Act</w:t>
      </w:r>
      <w:r w:rsidRPr="00F839C8">
        <w:rPr>
          <w:i/>
          <w:iCs/>
        </w:rPr>
        <w:t xml:space="preserve"> 1997</w:t>
      </w:r>
      <w:r>
        <w:t xml:space="preserve"> </w:t>
      </w:r>
      <w:r w:rsidR="00FC11C8">
        <w:t xml:space="preserve">and </w:t>
      </w:r>
      <w:r w:rsidRPr="007A26D2">
        <w:t>risks</w:t>
      </w:r>
      <w:r>
        <w:t xml:space="preserve"> associated with funded staff to client ratios</w:t>
      </w:r>
      <w:r w:rsidR="00FC11C8">
        <w:t>. It also hear</w:t>
      </w:r>
      <w:r w:rsidR="00274AF8">
        <w:t>d</w:t>
      </w:r>
      <w:r w:rsidR="00FC11C8">
        <w:t xml:space="preserve"> that there is a lack of understanding on </w:t>
      </w:r>
      <w:r w:rsidR="00B268D1">
        <w:t xml:space="preserve">where the </w:t>
      </w:r>
      <w:r>
        <w:t xml:space="preserve">responsibility </w:t>
      </w:r>
      <w:r w:rsidR="00B268D1">
        <w:t xml:space="preserve">lies </w:t>
      </w:r>
      <w:r>
        <w:t xml:space="preserve">for meeting accommodation standards for individuals requiring modifications. </w:t>
      </w:r>
    </w:p>
    <w:p w14:paraId="5E79E0FC" w14:textId="32146FDB" w:rsidR="007854F5" w:rsidRDefault="00E27BCD" w:rsidP="3A8B9972">
      <w:pPr>
        <w:pStyle w:val="BodyText"/>
      </w:pPr>
      <w:r>
        <w:t>The Review called for improvement</w:t>
      </w:r>
      <w:r w:rsidR="00166C00">
        <w:t>s</w:t>
      </w:r>
      <w:r>
        <w:t xml:space="preserve"> </w:t>
      </w:r>
      <w:r w:rsidR="00166C00">
        <w:t>to</w:t>
      </w:r>
      <w:r w:rsidR="007A26D2">
        <w:t xml:space="preserve"> risk</w:t>
      </w:r>
      <w:r w:rsidR="001B688A">
        <w:t>-</w:t>
      </w:r>
      <w:r w:rsidR="007A26D2">
        <w:t>assessment practices</w:t>
      </w:r>
      <w:r w:rsidR="00AB45AD">
        <w:t xml:space="preserve">, increased </w:t>
      </w:r>
      <w:r w:rsidR="007A26D2">
        <w:t xml:space="preserve">awareness of risks </w:t>
      </w:r>
      <w:r w:rsidR="00AB45AD">
        <w:t xml:space="preserve">and the </w:t>
      </w:r>
      <w:r w:rsidR="007A26D2">
        <w:t>streamlining</w:t>
      </w:r>
      <w:r w:rsidR="009408EF">
        <w:t xml:space="preserve"> of</w:t>
      </w:r>
      <w:r w:rsidR="007A26D2">
        <w:t xml:space="preserve"> business practices to improve service provision to the Tasmanian community.</w:t>
      </w:r>
      <w:r w:rsidR="007854F5">
        <w:br/>
      </w:r>
    </w:p>
    <w:p w14:paraId="2FB15185" w14:textId="5513F147" w:rsidR="00943F26" w:rsidRDefault="000D1A30">
      <w:pPr>
        <w:rPr>
          <w:rFonts w:ascii="Arial" w:eastAsiaTheme="majorEastAsia" w:hAnsi="Arial" w:cstheme="majorBidi"/>
          <w:color w:val="002060"/>
          <w:sz w:val="48"/>
          <w:szCs w:val="32"/>
        </w:rPr>
      </w:pPr>
      <w:r>
        <w:rPr>
          <w:noProof/>
        </w:rPr>
        <w:drawing>
          <wp:anchor distT="0" distB="0" distL="114300" distR="114300" simplePos="0" relativeHeight="251678727" behindDoc="0" locked="0" layoutInCell="1" allowOverlap="1" wp14:anchorId="3FB5BFD8" wp14:editId="4720B45F">
            <wp:simplePos x="0" y="0"/>
            <wp:positionH relativeFrom="margin">
              <wp:posOffset>-130810</wp:posOffset>
            </wp:positionH>
            <wp:positionV relativeFrom="paragraph">
              <wp:posOffset>191770</wp:posOffset>
            </wp:positionV>
            <wp:extent cx="6607175" cy="3906520"/>
            <wp:effectExtent l="0" t="0" r="3175" b="0"/>
            <wp:wrapTopAndBottom/>
            <wp:docPr id="8499345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08" r="742" b="11203"/>
                    <a:stretch/>
                  </pic:blipFill>
                  <pic:spPr bwMode="auto">
                    <a:xfrm>
                      <a:off x="0" y="0"/>
                      <a:ext cx="6607175" cy="3906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3F26">
        <w:br w:type="page"/>
      </w:r>
    </w:p>
    <w:p w14:paraId="00AF643C" w14:textId="20E78CCC" w:rsidR="004E260C" w:rsidRPr="00943F26" w:rsidRDefault="00E329C6" w:rsidP="00943F26">
      <w:pPr>
        <w:pStyle w:val="Heading1"/>
        <w:spacing w:before="0"/>
      </w:pPr>
      <w:bookmarkStart w:id="12" w:name="_Toc199409090"/>
      <w:r>
        <w:lastRenderedPageBreak/>
        <w:t xml:space="preserve">The Government’s </w:t>
      </w:r>
      <w:r w:rsidR="6A43723D">
        <w:t>r</w:t>
      </w:r>
      <w:r>
        <w:t>esponse</w:t>
      </w:r>
      <w:bookmarkEnd w:id="12"/>
    </w:p>
    <w:p w14:paraId="21CF2515" w14:textId="72239AE0" w:rsidR="00762D08" w:rsidRDefault="00762D08" w:rsidP="00FC11C8">
      <w:pPr>
        <w:pStyle w:val="BodyText"/>
      </w:pPr>
      <w:r>
        <w:t>Under the</w:t>
      </w:r>
      <w:r w:rsidR="00736C1C">
        <w:t xml:space="preserve"> Tasmanian Housing</w:t>
      </w:r>
      <w:r>
        <w:t xml:space="preserve"> Strategy, the Tasmanian Government </w:t>
      </w:r>
      <w:r w:rsidR="00810CEE">
        <w:t>work</w:t>
      </w:r>
      <w:r w:rsidR="00020941">
        <w:t>s</w:t>
      </w:r>
      <w:r w:rsidR="00810CEE">
        <w:t xml:space="preserve"> alongside Homes Tasmania, local government and partners in the not-for-profit and private sectors to </w:t>
      </w:r>
      <w:r w:rsidR="00A44552">
        <w:t>deliver on our priorities to:</w:t>
      </w:r>
    </w:p>
    <w:p w14:paraId="5521A066" w14:textId="55A316C7" w:rsidR="003A3CC6" w:rsidRDefault="003A3CC6" w:rsidP="003A3CC6">
      <w:pPr>
        <w:pStyle w:val="BodyText"/>
        <w:numPr>
          <w:ilvl w:val="0"/>
          <w:numId w:val="20"/>
        </w:numPr>
      </w:pPr>
      <w:r>
        <w:t xml:space="preserve">Deliver more quality homes, faster. </w:t>
      </w:r>
    </w:p>
    <w:p w14:paraId="28E2DB84" w14:textId="3EF7EB58" w:rsidR="003A3CC6" w:rsidRDefault="003A3CC6" w:rsidP="003A3CC6">
      <w:pPr>
        <w:pStyle w:val="BodyText"/>
        <w:numPr>
          <w:ilvl w:val="0"/>
          <w:numId w:val="20"/>
        </w:numPr>
      </w:pPr>
      <w:r>
        <w:t xml:space="preserve">Support people in need. </w:t>
      </w:r>
    </w:p>
    <w:p w14:paraId="4255130D" w14:textId="7B8227E3" w:rsidR="003A3CC6" w:rsidRDefault="003A3CC6" w:rsidP="003A3CC6">
      <w:pPr>
        <w:pStyle w:val="BodyText"/>
        <w:numPr>
          <w:ilvl w:val="0"/>
          <w:numId w:val="20"/>
        </w:numPr>
      </w:pPr>
      <w:r>
        <w:t xml:space="preserve">Improve private market affordability and stability. </w:t>
      </w:r>
    </w:p>
    <w:p w14:paraId="2F1CC915" w14:textId="7F2D1635" w:rsidR="001E77B3" w:rsidRPr="00943F26" w:rsidRDefault="003A3CC6" w:rsidP="00943F26">
      <w:pPr>
        <w:pStyle w:val="BodyText"/>
        <w:numPr>
          <w:ilvl w:val="0"/>
          <w:numId w:val="20"/>
        </w:numPr>
        <w:rPr>
          <w:rStyle w:val="Instructions"/>
          <w:color w:val="000000" w:themeColor="text1"/>
          <w:szCs w:val="22"/>
          <w:u w:val="none"/>
        </w:rPr>
      </w:pPr>
      <w:r>
        <w:t xml:space="preserve">Enable local prosperity. </w:t>
      </w:r>
    </w:p>
    <w:p w14:paraId="36BB849E" w14:textId="24086A12" w:rsidR="001A5A46" w:rsidRDefault="00435931" w:rsidP="00435931">
      <w:pPr>
        <w:pStyle w:val="ListBullet"/>
        <w:numPr>
          <w:ilvl w:val="0"/>
          <w:numId w:val="0"/>
        </w:numPr>
        <w:rPr>
          <w:rStyle w:val="Instructions"/>
          <w:color w:val="auto"/>
          <w:u w:val="none"/>
        </w:rPr>
      </w:pPr>
      <w:r w:rsidRPr="3D5CD64F">
        <w:rPr>
          <w:rStyle w:val="Instructions"/>
          <w:color w:val="auto"/>
          <w:u w:val="none"/>
        </w:rPr>
        <w:t xml:space="preserve">The Review highlighted that strategic housing policy is a responsibility of </w:t>
      </w:r>
      <w:r w:rsidR="00736C1C" w:rsidRPr="3D5CD64F">
        <w:rPr>
          <w:rStyle w:val="Instructions"/>
          <w:color w:val="auto"/>
          <w:u w:val="none"/>
        </w:rPr>
        <w:t>G</w:t>
      </w:r>
      <w:r w:rsidRPr="3D5CD64F">
        <w:rPr>
          <w:rStyle w:val="Instructions"/>
          <w:color w:val="auto"/>
          <w:u w:val="none"/>
        </w:rPr>
        <w:t>overnment</w:t>
      </w:r>
      <w:r w:rsidR="00020941" w:rsidRPr="3D5CD64F">
        <w:rPr>
          <w:rStyle w:val="Instructions"/>
          <w:color w:val="auto"/>
          <w:u w:val="none"/>
        </w:rPr>
        <w:t xml:space="preserve">, and that </w:t>
      </w:r>
      <w:r w:rsidR="005B4AE4" w:rsidRPr="3D5CD64F">
        <w:rPr>
          <w:rStyle w:val="Instructions"/>
          <w:color w:val="auto"/>
          <w:u w:val="none"/>
        </w:rPr>
        <w:t xml:space="preserve">having Homes Tasmania as both the strategic </w:t>
      </w:r>
      <w:r w:rsidR="00E329C6" w:rsidRPr="3D5CD64F">
        <w:rPr>
          <w:rStyle w:val="Instructions"/>
          <w:color w:val="auto"/>
          <w:u w:val="none"/>
        </w:rPr>
        <w:t xml:space="preserve">policy </w:t>
      </w:r>
      <w:r w:rsidR="005B4AE4" w:rsidRPr="3D5CD64F">
        <w:rPr>
          <w:rStyle w:val="Instructions"/>
          <w:color w:val="auto"/>
          <w:u w:val="none"/>
        </w:rPr>
        <w:t>advis</w:t>
      </w:r>
      <w:r w:rsidR="19BE7DCB" w:rsidRPr="3D5CD64F">
        <w:rPr>
          <w:rStyle w:val="Instructions"/>
          <w:color w:val="auto"/>
          <w:u w:val="none"/>
        </w:rPr>
        <w:t>e</w:t>
      </w:r>
      <w:r w:rsidR="005B4AE4" w:rsidRPr="3D5CD64F">
        <w:rPr>
          <w:rStyle w:val="Instructions"/>
          <w:color w:val="auto"/>
          <w:u w:val="none"/>
        </w:rPr>
        <w:t xml:space="preserve">r to </w:t>
      </w:r>
      <w:r w:rsidR="00611FC5">
        <w:rPr>
          <w:rStyle w:val="Instructions"/>
          <w:color w:val="auto"/>
          <w:u w:val="none"/>
        </w:rPr>
        <w:t>G</w:t>
      </w:r>
      <w:r w:rsidR="005B4AE4" w:rsidRPr="3D5CD64F">
        <w:rPr>
          <w:rStyle w:val="Instructions"/>
          <w:color w:val="auto"/>
          <w:u w:val="none"/>
        </w:rPr>
        <w:t xml:space="preserve">overnment, and the </w:t>
      </w:r>
      <w:r w:rsidR="00AF3290" w:rsidRPr="24BB7806">
        <w:rPr>
          <w:rStyle w:val="Instructions"/>
          <w:color w:val="auto"/>
          <w:u w:val="none"/>
        </w:rPr>
        <w:t>deliver</w:t>
      </w:r>
      <w:r w:rsidR="00736C1C" w:rsidRPr="24BB7806">
        <w:rPr>
          <w:rStyle w:val="Instructions"/>
          <w:color w:val="auto"/>
          <w:u w:val="none"/>
        </w:rPr>
        <w:t>y</w:t>
      </w:r>
      <w:r w:rsidR="00736C1C" w:rsidRPr="3D5CD64F">
        <w:rPr>
          <w:rStyle w:val="Instructions"/>
          <w:color w:val="auto"/>
          <w:u w:val="none"/>
        </w:rPr>
        <w:t xml:space="preserve"> agency </w:t>
      </w:r>
      <w:r w:rsidR="001A5A46" w:rsidRPr="33E4CE46">
        <w:rPr>
          <w:rStyle w:val="Instructions"/>
          <w:color w:val="auto"/>
          <w:u w:val="none"/>
        </w:rPr>
        <w:t>of that policy</w:t>
      </w:r>
      <w:r w:rsidR="001A5A46" w:rsidRPr="3D5CD64F">
        <w:rPr>
          <w:rStyle w:val="Instructions"/>
          <w:color w:val="auto"/>
          <w:u w:val="none"/>
        </w:rPr>
        <w:t xml:space="preserve"> </w:t>
      </w:r>
      <w:r w:rsidR="00332B2D" w:rsidRPr="3D5CD64F">
        <w:rPr>
          <w:rStyle w:val="Instructions"/>
          <w:color w:val="auto"/>
          <w:u w:val="none"/>
        </w:rPr>
        <w:t xml:space="preserve">has </w:t>
      </w:r>
      <w:r w:rsidR="00332B2D" w:rsidRPr="30844F15">
        <w:rPr>
          <w:rStyle w:val="Instructions"/>
          <w:color w:val="auto"/>
          <w:u w:val="none"/>
        </w:rPr>
        <w:t>confus</w:t>
      </w:r>
      <w:r w:rsidR="29C4BB0A" w:rsidRPr="30844F15">
        <w:rPr>
          <w:rStyle w:val="Instructions"/>
          <w:color w:val="auto"/>
          <w:u w:val="none"/>
        </w:rPr>
        <w:t>ed</w:t>
      </w:r>
      <w:r w:rsidR="00332B2D" w:rsidRPr="3D5CD64F">
        <w:rPr>
          <w:rStyle w:val="Instructions"/>
          <w:color w:val="auto"/>
          <w:u w:val="none"/>
        </w:rPr>
        <w:t xml:space="preserve"> reporting lines and </w:t>
      </w:r>
      <w:r w:rsidR="00D95362" w:rsidRPr="3D5CD64F">
        <w:rPr>
          <w:rStyle w:val="Instructions"/>
          <w:color w:val="auto"/>
          <w:u w:val="none"/>
        </w:rPr>
        <w:t xml:space="preserve">as a result has </w:t>
      </w:r>
      <w:r w:rsidR="00332B2D" w:rsidRPr="3D5CD64F">
        <w:rPr>
          <w:rStyle w:val="Instructions"/>
          <w:color w:val="auto"/>
          <w:u w:val="none"/>
        </w:rPr>
        <w:t xml:space="preserve">not delivered the outcomes that were </w:t>
      </w:r>
      <w:r w:rsidR="00187DB6" w:rsidRPr="3D5CD64F">
        <w:rPr>
          <w:rStyle w:val="Instructions"/>
          <w:color w:val="auto"/>
          <w:u w:val="none"/>
        </w:rPr>
        <w:t>envisaged</w:t>
      </w:r>
      <w:r w:rsidR="005F4731" w:rsidRPr="3D5CD64F">
        <w:rPr>
          <w:rStyle w:val="Instructions"/>
          <w:color w:val="auto"/>
          <w:u w:val="none"/>
        </w:rPr>
        <w:t xml:space="preserve">. </w:t>
      </w:r>
    </w:p>
    <w:p w14:paraId="26D22BF2" w14:textId="47E46A52" w:rsidR="00435931" w:rsidRPr="00700AEB" w:rsidRDefault="005F4731" w:rsidP="00435931">
      <w:pPr>
        <w:pStyle w:val="ListBullet"/>
        <w:numPr>
          <w:ilvl w:val="0"/>
          <w:numId w:val="0"/>
        </w:numPr>
        <w:rPr>
          <w:rStyle w:val="Instructions"/>
          <w:color w:val="auto"/>
          <w:szCs w:val="22"/>
          <w:u w:val="none"/>
        </w:rPr>
      </w:pPr>
      <w:r>
        <w:rPr>
          <w:rStyle w:val="Instructions"/>
          <w:color w:val="auto"/>
          <w:szCs w:val="22"/>
          <w:u w:val="none"/>
        </w:rPr>
        <w:t>To</w:t>
      </w:r>
      <w:r w:rsidR="00435931">
        <w:rPr>
          <w:rStyle w:val="Instructions"/>
          <w:color w:val="auto"/>
          <w:szCs w:val="22"/>
          <w:u w:val="none"/>
        </w:rPr>
        <w:t xml:space="preserve"> address this</w:t>
      </w:r>
      <w:r w:rsidR="00694382">
        <w:rPr>
          <w:rStyle w:val="Instructions"/>
          <w:color w:val="auto"/>
          <w:szCs w:val="22"/>
          <w:u w:val="none"/>
        </w:rPr>
        <w:t xml:space="preserve">, </w:t>
      </w:r>
      <w:r w:rsidR="00736C1C">
        <w:rPr>
          <w:rStyle w:val="Instructions"/>
          <w:color w:val="auto"/>
          <w:szCs w:val="22"/>
          <w:u w:val="none"/>
        </w:rPr>
        <w:t>t</w:t>
      </w:r>
      <w:r w:rsidR="00332B2D">
        <w:rPr>
          <w:rStyle w:val="Instructions"/>
          <w:color w:val="auto"/>
          <w:szCs w:val="22"/>
          <w:u w:val="none"/>
        </w:rPr>
        <w:t>he Government has de</w:t>
      </w:r>
      <w:r w:rsidR="001A5A46">
        <w:rPr>
          <w:rStyle w:val="Instructions"/>
          <w:color w:val="auto"/>
          <w:szCs w:val="22"/>
          <w:u w:val="none"/>
        </w:rPr>
        <w:t>termined</w:t>
      </w:r>
      <w:r w:rsidR="00332B2D">
        <w:rPr>
          <w:rStyle w:val="Instructions"/>
          <w:color w:val="auto"/>
          <w:szCs w:val="22"/>
          <w:u w:val="none"/>
        </w:rPr>
        <w:t xml:space="preserve"> that </w:t>
      </w:r>
      <w:r w:rsidR="00694382">
        <w:rPr>
          <w:rStyle w:val="Instructions"/>
          <w:color w:val="auto"/>
          <w:szCs w:val="22"/>
          <w:u w:val="none"/>
        </w:rPr>
        <w:t xml:space="preserve">strategic housing policy will be </w:t>
      </w:r>
      <w:r w:rsidR="00332B2D">
        <w:rPr>
          <w:rStyle w:val="Instructions"/>
          <w:color w:val="auto"/>
          <w:szCs w:val="22"/>
          <w:u w:val="none"/>
        </w:rPr>
        <w:t xml:space="preserve">returned to central </w:t>
      </w:r>
      <w:r w:rsidR="00ED3884">
        <w:rPr>
          <w:rStyle w:val="Instructions"/>
          <w:color w:val="auto"/>
          <w:szCs w:val="22"/>
          <w:u w:val="none"/>
        </w:rPr>
        <w:t>government</w:t>
      </w:r>
      <w:r w:rsidR="00486A9C">
        <w:rPr>
          <w:rStyle w:val="Instructions"/>
          <w:color w:val="auto"/>
          <w:szCs w:val="22"/>
          <w:u w:val="none"/>
        </w:rPr>
        <w:t xml:space="preserve"> and will be provided by </w:t>
      </w:r>
      <w:r w:rsidR="00435931" w:rsidRPr="00700AEB">
        <w:rPr>
          <w:color w:val="auto"/>
        </w:rPr>
        <w:t>the Department of State Growth</w:t>
      </w:r>
      <w:r w:rsidR="00435931" w:rsidRPr="00700AEB">
        <w:rPr>
          <w:rStyle w:val="Instructions"/>
          <w:color w:val="auto"/>
          <w:szCs w:val="22"/>
          <w:u w:val="none"/>
        </w:rPr>
        <w:t xml:space="preserve">. Figure 1 outlines the </w:t>
      </w:r>
      <w:r w:rsidR="00E67B6D">
        <w:rPr>
          <w:rStyle w:val="Instructions"/>
          <w:color w:val="auto"/>
          <w:szCs w:val="22"/>
          <w:u w:val="none"/>
        </w:rPr>
        <w:t xml:space="preserve">new </w:t>
      </w:r>
      <w:r w:rsidR="00435931" w:rsidRPr="00700AEB">
        <w:rPr>
          <w:rStyle w:val="Instructions"/>
          <w:color w:val="auto"/>
          <w:szCs w:val="22"/>
          <w:u w:val="none"/>
        </w:rPr>
        <w:t xml:space="preserve">key focus areas for the Department of State Growth and Homes Tasmania in relation to the housing system. </w:t>
      </w:r>
    </w:p>
    <w:p w14:paraId="6C6C9296" w14:textId="39B21D59" w:rsidR="0096470D" w:rsidRPr="0096470D" w:rsidRDefault="0096470D" w:rsidP="0096470D">
      <w:pPr>
        <w:pStyle w:val="Caption"/>
        <w:rPr>
          <w:rStyle w:val="Instructions"/>
          <w:rFonts w:cs="Arial"/>
          <w:noProof/>
          <w:color w:val="auto"/>
          <w:sz w:val="28"/>
          <w:szCs w:val="28"/>
          <w:u w:val="none"/>
        </w:rPr>
      </w:pPr>
      <w:r w:rsidRPr="003D0F3C">
        <w:rPr>
          <w:rFonts w:ascii="Arial" w:hAnsi="Arial" w:cs="Arial"/>
          <w:sz w:val="22"/>
          <w:szCs w:val="22"/>
        </w:rPr>
        <w:t xml:space="preserve">Figure </w:t>
      </w:r>
      <w:r w:rsidRPr="003D0F3C">
        <w:rPr>
          <w:rFonts w:ascii="Arial" w:hAnsi="Arial" w:cs="Arial"/>
          <w:sz w:val="22"/>
          <w:szCs w:val="22"/>
        </w:rPr>
        <w:fldChar w:fldCharType="begin"/>
      </w:r>
      <w:r w:rsidRPr="003D0F3C">
        <w:rPr>
          <w:rFonts w:ascii="Arial" w:hAnsi="Arial" w:cs="Arial"/>
          <w:sz w:val="22"/>
          <w:szCs w:val="22"/>
        </w:rPr>
        <w:instrText xml:space="preserve"> SEQ Figure \* ARABIC </w:instrText>
      </w:r>
      <w:r w:rsidRPr="003D0F3C">
        <w:rPr>
          <w:rFonts w:ascii="Arial" w:hAnsi="Arial" w:cs="Arial"/>
          <w:sz w:val="22"/>
          <w:szCs w:val="22"/>
        </w:rPr>
        <w:fldChar w:fldCharType="separate"/>
      </w:r>
      <w:r w:rsidR="004853F3">
        <w:rPr>
          <w:rFonts w:ascii="Arial" w:hAnsi="Arial" w:cs="Arial"/>
          <w:noProof/>
          <w:sz w:val="22"/>
          <w:szCs w:val="22"/>
        </w:rPr>
        <w:t>1</w:t>
      </w:r>
      <w:r w:rsidRPr="003D0F3C">
        <w:rPr>
          <w:rFonts w:ascii="Arial" w:hAnsi="Arial" w:cs="Arial"/>
          <w:sz w:val="22"/>
          <w:szCs w:val="22"/>
        </w:rPr>
        <w:fldChar w:fldCharType="end"/>
      </w:r>
      <w:r w:rsidRPr="003D0F3C">
        <w:rPr>
          <w:rFonts w:ascii="Arial" w:hAnsi="Arial" w:cs="Arial"/>
          <w:sz w:val="22"/>
          <w:szCs w:val="22"/>
        </w:rPr>
        <w:t xml:space="preserve"> Focus areas for Homes Tasmania and the Department of State Growth</w:t>
      </w:r>
      <w:r>
        <w:rPr>
          <w:noProof/>
          <w:color w:val="auto"/>
        </w:rPr>
        <w:drawing>
          <wp:anchor distT="0" distB="0" distL="114300" distR="114300" simplePos="0" relativeHeight="251660295" behindDoc="0" locked="0" layoutInCell="1" allowOverlap="1" wp14:anchorId="6DA066EA" wp14:editId="3B3B6FE8">
            <wp:simplePos x="0" y="0"/>
            <wp:positionH relativeFrom="margin">
              <wp:posOffset>0</wp:posOffset>
            </wp:positionH>
            <wp:positionV relativeFrom="paragraph">
              <wp:posOffset>304800</wp:posOffset>
            </wp:positionV>
            <wp:extent cx="5868035" cy="3238500"/>
            <wp:effectExtent l="0" t="0" r="18415" b="0"/>
            <wp:wrapTopAndBottom/>
            <wp:docPr id="192889392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2B59EA8F" w14:textId="32FF6CBB" w:rsidR="00ED3884" w:rsidRDefault="0096470D" w:rsidP="00435931">
      <w:pPr>
        <w:rPr>
          <w:rStyle w:val="Instructions"/>
          <w:color w:val="auto"/>
          <w:u w:val="none"/>
        </w:rPr>
      </w:pPr>
      <w:r>
        <w:rPr>
          <w:rStyle w:val="Instructions"/>
          <w:color w:val="auto"/>
          <w:u w:val="none"/>
        </w:rPr>
        <w:br/>
      </w:r>
      <w:r w:rsidR="00435931" w:rsidRPr="5D822450">
        <w:rPr>
          <w:rStyle w:val="Instructions"/>
          <w:color w:val="auto"/>
          <w:u w:val="none"/>
        </w:rPr>
        <w:t xml:space="preserve">As shown, the Department of State Growth will act as a System Steward for the Tasmanian housing system and will work closely with Homes Tasmania </w:t>
      </w:r>
      <w:r w:rsidR="008B77E2" w:rsidRPr="5D822450">
        <w:rPr>
          <w:rStyle w:val="Instructions"/>
          <w:color w:val="auto"/>
          <w:u w:val="none"/>
        </w:rPr>
        <w:t xml:space="preserve">and the sector </w:t>
      </w:r>
      <w:r w:rsidR="00435931" w:rsidRPr="5D822450">
        <w:rPr>
          <w:rStyle w:val="Instructions"/>
          <w:color w:val="auto"/>
          <w:u w:val="none"/>
        </w:rPr>
        <w:t>to build a healthy housing system</w:t>
      </w:r>
      <w:r w:rsidR="002F58CE" w:rsidRPr="5D822450">
        <w:rPr>
          <w:rStyle w:val="Instructions"/>
          <w:color w:val="auto"/>
          <w:u w:val="none"/>
        </w:rPr>
        <w:t xml:space="preserve">. </w:t>
      </w:r>
    </w:p>
    <w:p w14:paraId="720ADBD2" w14:textId="00B0CD3D" w:rsidR="00F06B81" w:rsidRDefault="00CD2DF6" w:rsidP="0056250A">
      <w:pPr>
        <w:rPr>
          <w:rFonts w:ascii="Arial" w:hAnsi="Arial" w:cs="Arial"/>
        </w:rPr>
      </w:pPr>
      <w:r>
        <w:rPr>
          <w:rFonts w:ascii="Arial" w:hAnsi="Arial" w:cs="Arial"/>
        </w:rPr>
        <w:t xml:space="preserve">As System Steward, the </w:t>
      </w:r>
      <w:r w:rsidR="00D03C7F">
        <w:rPr>
          <w:rFonts w:ascii="Arial" w:hAnsi="Arial" w:cs="Arial"/>
        </w:rPr>
        <w:t xml:space="preserve">Minister can turn </w:t>
      </w:r>
      <w:r w:rsidR="00A464C3">
        <w:rPr>
          <w:rFonts w:ascii="Arial" w:hAnsi="Arial" w:cs="Arial"/>
        </w:rPr>
        <w:t xml:space="preserve">to the </w:t>
      </w:r>
      <w:r>
        <w:rPr>
          <w:rFonts w:ascii="Arial" w:hAnsi="Arial" w:cs="Arial"/>
        </w:rPr>
        <w:t xml:space="preserve">Department of State Growth </w:t>
      </w:r>
      <w:r w:rsidR="00A464C3">
        <w:rPr>
          <w:rFonts w:ascii="Arial" w:hAnsi="Arial" w:cs="Arial"/>
        </w:rPr>
        <w:t xml:space="preserve">to </w:t>
      </w:r>
      <w:r w:rsidR="002F58CE">
        <w:rPr>
          <w:rFonts w:ascii="Arial" w:hAnsi="Arial" w:cs="Arial"/>
        </w:rPr>
        <w:t>provide guidance and leadership for the stakeholders within the housing system</w:t>
      </w:r>
      <w:r w:rsidR="00A464C3">
        <w:rPr>
          <w:rFonts w:ascii="Arial" w:hAnsi="Arial" w:cs="Arial"/>
        </w:rPr>
        <w:t xml:space="preserve">, removing the current </w:t>
      </w:r>
      <w:r w:rsidR="00AE39C1">
        <w:rPr>
          <w:rFonts w:ascii="Arial" w:hAnsi="Arial" w:cs="Arial"/>
        </w:rPr>
        <w:t>reporting issues identified by the Review as needing urgent clarification</w:t>
      </w:r>
      <w:r w:rsidR="002F58CE">
        <w:rPr>
          <w:rFonts w:ascii="Arial" w:hAnsi="Arial" w:cs="Arial"/>
        </w:rPr>
        <w:t xml:space="preserve">. </w:t>
      </w:r>
      <w:r w:rsidR="00D11874">
        <w:rPr>
          <w:rFonts w:ascii="Arial" w:hAnsi="Arial" w:cs="Arial"/>
        </w:rPr>
        <w:t xml:space="preserve">Transferring </w:t>
      </w:r>
      <w:r w:rsidR="00461779">
        <w:rPr>
          <w:rFonts w:ascii="Arial" w:hAnsi="Arial" w:cs="Arial"/>
        </w:rPr>
        <w:t xml:space="preserve">the role of System Steward to the Department of State Growth </w:t>
      </w:r>
      <w:r w:rsidR="00F564A1">
        <w:rPr>
          <w:rFonts w:ascii="Arial" w:hAnsi="Arial" w:cs="Arial"/>
        </w:rPr>
        <w:t xml:space="preserve">also allows </w:t>
      </w:r>
      <w:r w:rsidR="00461779">
        <w:rPr>
          <w:rFonts w:ascii="Arial" w:hAnsi="Arial" w:cs="Arial"/>
        </w:rPr>
        <w:t>Homes Tasmania</w:t>
      </w:r>
      <w:r w:rsidR="00F564A1">
        <w:rPr>
          <w:rFonts w:ascii="Arial" w:hAnsi="Arial" w:cs="Arial"/>
        </w:rPr>
        <w:t xml:space="preserve">’s </w:t>
      </w:r>
      <w:r w:rsidR="00736C1C">
        <w:rPr>
          <w:rFonts w:ascii="Arial" w:hAnsi="Arial" w:cs="Arial"/>
        </w:rPr>
        <w:t>B</w:t>
      </w:r>
      <w:r w:rsidR="00F564A1">
        <w:rPr>
          <w:rFonts w:ascii="Arial" w:hAnsi="Arial" w:cs="Arial"/>
        </w:rPr>
        <w:t>oard</w:t>
      </w:r>
      <w:r w:rsidR="00461779">
        <w:rPr>
          <w:rFonts w:ascii="Arial" w:hAnsi="Arial" w:cs="Arial"/>
        </w:rPr>
        <w:t xml:space="preserve"> to</w:t>
      </w:r>
      <w:r w:rsidR="00D11874">
        <w:rPr>
          <w:rFonts w:ascii="Arial" w:hAnsi="Arial" w:cs="Arial"/>
        </w:rPr>
        <w:t xml:space="preserve"> resume the leadership </w:t>
      </w:r>
      <w:r w:rsidR="00461779">
        <w:rPr>
          <w:rFonts w:ascii="Arial" w:hAnsi="Arial" w:cs="Arial"/>
        </w:rPr>
        <w:t>focus on operational policy and delivery</w:t>
      </w:r>
      <w:r w:rsidR="00736C1C">
        <w:rPr>
          <w:rFonts w:ascii="Arial" w:hAnsi="Arial" w:cs="Arial"/>
        </w:rPr>
        <w:t xml:space="preserve"> of housing</w:t>
      </w:r>
      <w:r w:rsidR="00461779">
        <w:rPr>
          <w:rFonts w:ascii="Arial" w:hAnsi="Arial" w:cs="Arial"/>
        </w:rPr>
        <w:t xml:space="preserve">. </w:t>
      </w:r>
      <w:r w:rsidR="00F06B81">
        <w:rPr>
          <w:rFonts w:ascii="Arial" w:hAnsi="Arial" w:cs="Arial"/>
        </w:rPr>
        <w:t xml:space="preserve"> </w:t>
      </w:r>
    </w:p>
    <w:p w14:paraId="592D1EB2" w14:textId="77777777" w:rsidR="0096470D" w:rsidRDefault="0096470D">
      <w:pPr>
        <w:rPr>
          <w:rStyle w:val="Instructions"/>
          <w:color w:val="auto"/>
          <w:u w:val="none"/>
        </w:rPr>
      </w:pPr>
      <w:r>
        <w:rPr>
          <w:rStyle w:val="Instructions"/>
          <w:color w:val="auto"/>
          <w:u w:val="none"/>
        </w:rPr>
        <w:br w:type="page"/>
      </w:r>
    </w:p>
    <w:p w14:paraId="508A4F4C" w14:textId="38275D25" w:rsidR="00651A36" w:rsidRDefault="1ABE129E" w:rsidP="0056250A">
      <w:pPr>
        <w:rPr>
          <w:rStyle w:val="Instructions"/>
          <w:color w:val="auto"/>
          <w:u w:val="none"/>
        </w:rPr>
      </w:pPr>
      <w:r w:rsidRPr="02544E27">
        <w:rPr>
          <w:rStyle w:val="Instructions"/>
          <w:color w:val="auto"/>
          <w:u w:val="none"/>
        </w:rPr>
        <w:lastRenderedPageBreak/>
        <w:t>A</w:t>
      </w:r>
      <w:r w:rsidR="00D95817" w:rsidRPr="678E69C3">
        <w:rPr>
          <w:rStyle w:val="Instructions"/>
          <w:color w:val="auto"/>
          <w:u w:val="none"/>
        </w:rPr>
        <w:t xml:space="preserve"> key decision already made to </w:t>
      </w:r>
      <w:r w:rsidR="00D95817">
        <w:rPr>
          <w:rStyle w:val="Instructions"/>
          <w:color w:val="auto"/>
          <w:u w:val="none"/>
        </w:rPr>
        <w:t xml:space="preserve">support this </w:t>
      </w:r>
      <w:r w:rsidR="00F06B81">
        <w:rPr>
          <w:rStyle w:val="Instructions"/>
          <w:color w:val="auto"/>
          <w:u w:val="none"/>
        </w:rPr>
        <w:t xml:space="preserve">transition of </w:t>
      </w:r>
      <w:r w:rsidR="00D11874">
        <w:rPr>
          <w:rStyle w:val="Instructions"/>
          <w:color w:val="auto"/>
          <w:u w:val="none"/>
        </w:rPr>
        <w:t>responsibilities</w:t>
      </w:r>
      <w:r w:rsidR="00F06B81" w:rsidRPr="678E69C3">
        <w:rPr>
          <w:rStyle w:val="Instructions"/>
          <w:color w:val="auto"/>
          <w:u w:val="none"/>
        </w:rPr>
        <w:t xml:space="preserve"> </w:t>
      </w:r>
      <w:r w:rsidR="00D95817" w:rsidRPr="678E69C3">
        <w:rPr>
          <w:rStyle w:val="Instructions"/>
          <w:color w:val="auto"/>
          <w:u w:val="none"/>
        </w:rPr>
        <w:t>is that the Community Housing Registrar who is responsible for regulating the Community Housing Framework in Tasmania has already been moved from Homes Tasmania to the Department of State Growth. The Registrar will manage the Community Housing Provider system, while Homes Tasmania will continue to have direct and active engagement with Community Housing Providers to manage housing stock</w:t>
      </w:r>
      <w:r w:rsidR="00D95817">
        <w:rPr>
          <w:rStyle w:val="Instructions"/>
          <w:color w:val="auto"/>
          <w:u w:val="none"/>
        </w:rPr>
        <w:t>.</w:t>
      </w:r>
    </w:p>
    <w:p w14:paraId="403D67AC" w14:textId="2B99A864" w:rsidR="00694382" w:rsidRDefault="007046E8" w:rsidP="0056250A">
      <w:pPr>
        <w:rPr>
          <w:rFonts w:ascii="Arial" w:hAnsi="Arial" w:cs="Arial"/>
        </w:rPr>
      </w:pPr>
      <w:r>
        <w:rPr>
          <w:rFonts w:ascii="Arial" w:hAnsi="Arial" w:cs="Arial"/>
        </w:rPr>
        <w:t>To further support th</w:t>
      </w:r>
      <w:r w:rsidR="00527E69">
        <w:rPr>
          <w:rFonts w:ascii="Arial" w:hAnsi="Arial" w:cs="Arial"/>
        </w:rPr>
        <w:t>is shift in focus</w:t>
      </w:r>
      <w:r>
        <w:rPr>
          <w:rFonts w:ascii="Arial" w:hAnsi="Arial" w:cs="Arial"/>
        </w:rPr>
        <w:t xml:space="preserve">, the Department of State Growth will work with Homes Tasmania to remove </w:t>
      </w:r>
      <w:r w:rsidR="003066DC">
        <w:rPr>
          <w:rFonts w:ascii="Arial" w:hAnsi="Arial" w:cs="Arial"/>
        </w:rPr>
        <w:t xml:space="preserve">regulatory and </w:t>
      </w:r>
      <w:r>
        <w:rPr>
          <w:rFonts w:ascii="Arial" w:hAnsi="Arial" w:cs="Arial"/>
        </w:rPr>
        <w:t xml:space="preserve">reporting </w:t>
      </w:r>
      <w:r w:rsidR="00E62328">
        <w:rPr>
          <w:rFonts w:ascii="Arial" w:hAnsi="Arial" w:cs="Arial"/>
        </w:rPr>
        <w:t>requirements</w:t>
      </w:r>
      <w:r>
        <w:rPr>
          <w:rFonts w:ascii="Arial" w:hAnsi="Arial" w:cs="Arial"/>
        </w:rPr>
        <w:t xml:space="preserve"> </w:t>
      </w:r>
      <w:r w:rsidR="005F4566">
        <w:rPr>
          <w:rFonts w:ascii="Arial" w:hAnsi="Arial" w:cs="Arial"/>
        </w:rPr>
        <w:t xml:space="preserve">identified in the Review </w:t>
      </w:r>
      <w:r w:rsidDel="005F4566">
        <w:rPr>
          <w:rFonts w:ascii="Arial" w:hAnsi="Arial" w:cs="Arial"/>
        </w:rPr>
        <w:t>and</w:t>
      </w:r>
      <w:r w:rsidR="00AE0017">
        <w:rPr>
          <w:rFonts w:ascii="Arial" w:hAnsi="Arial" w:cs="Arial"/>
        </w:rPr>
        <w:t xml:space="preserve"> seek variations to the Treasurer’s </w:t>
      </w:r>
      <w:r w:rsidR="00736C1C">
        <w:rPr>
          <w:rFonts w:ascii="Arial" w:hAnsi="Arial" w:cs="Arial"/>
        </w:rPr>
        <w:t>I</w:t>
      </w:r>
      <w:r w:rsidR="00AE0017">
        <w:rPr>
          <w:rFonts w:ascii="Arial" w:hAnsi="Arial" w:cs="Arial"/>
        </w:rPr>
        <w:t>nstructions where appropriate to</w:t>
      </w:r>
      <w:r>
        <w:rPr>
          <w:rFonts w:ascii="Arial" w:hAnsi="Arial" w:cs="Arial"/>
        </w:rPr>
        <w:t xml:space="preserve"> enable Homes Tasmania to</w:t>
      </w:r>
      <w:r w:rsidR="00702C81">
        <w:rPr>
          <w:rFonts w:ascii="Arial" w:hAnsi="Arial" w:cs="Arial"/>
        </w:rPr>
        <w:t xml:space="preserve"> </w:t>
      </w:r>
      <w:r>
        <w:rPr>
          <w:rFonts w:ascii="Arial" w:hAnsi="Arial" w:cs="Arial"/>
        </w:rPr>
        <w:t xml:space="preserve">partner more effectively </w:t>
      </w:r>
      <w:r w:rsidR="00527E69">
        <w:rPr>
          <w:rFonts w:ascii="Arial" w:hAnsi="Arial" w:cs="Arial"/>
        </w:rPr>
        <w:t>with key housing stakeholders</w:t>
      </w:r>
      <w:r w:rsidR="004D1754">
        <w:rPr>
          <w:rFonts w:ascii="Arial" w:hAnsi="Arial" w:cs="Arial"/>
        </w:rPr>
        <w:t xml:space="preserve"> to deliver new housin</w:t>
      </w:r>
      <w:r w:rsidR="00EF2AF9">
        <w:rPr>
          <w:rFonts w:ascii="Arial" w:hAnsi="Arial" w:cs="Arial"/>
        </w:rPr>
        <w:t>g</w:t>
      </w:r>
      <w:r>
        <w:rPr>
          <w:rFonts w:ascii="Arial" w:hAnsi="Arial" w:cs="Arial"/>
        </w:rPr>
        <w:t>.</w:t>
      </w:r>
      <w:r w:rsidR="00DE647C">
        <w:rPr>
          <w:rFonts w:ascii="Arial" w:hAnsi="Arial" w:cs="Arial"/>
        </w:rPr>
        <w:t xml:space="preserve"> </w:t>
      </w:r>
    </w:p>
    <w:p w14:paraId="75AB04AB" w14:textId="1C916865" w:rsidR="00E14C2D" w:rsidRDefault="006E6381" w:rsidP="00E14C2D">
      <w:pPr>
        <w:pStyle w:val="ListBullet"/>
        <w:numPr>
          <w:ilvl w:val="0"/>
          <w:numId w:val="0"/>
        </w:numPr>
      </w:pPr>
      <w:r>
        <w:rPr>
          <w:rStyle w:val="Instructions"/>
          <w:color w:val="000000" w:themeColor="text1"/>
          <w:szCs w:val="22"/>
          <w:u w:val="none"/>
        </w:rPr>
        <w:t xml:space="preserve">To support </w:t>
      </w:r>
      <w:r w:rsidR="00B50F62">
        <w:rPr>
          <w:rStyle w:val="Instructions"/>
          <w:color w:val="000000" w:themeColor="text1"/>
          <w:szCs w:val="22"/>
          <w:u w:val="none"/>
        </w:rPr>
        <w:t>all</w:t>
      </w:r>
      <w:r>
        <w:rPr>
          <w:rStyle w:val="Instructions"/>
          <w:color w:val="000000" w:themeColor="text1"/>
          <w:szCs w:val="22"/>
          <w:u w:val="none"/>
        </w:rPr>
        <w:t xml:space="preserve"> the above, a</w:t>
      </w:r>
      <w:r w:rsidR="00E14C2D">
        <w:rPr>
          <w:rStyle w:val="Instructions"/>
          <w:color w:val="000000" w:themeColor="text1"/>
          <w:szCs w:val="22"/>
          <w:u w:val="none"/>
        </w:rPr>
        <w:t xml:space="preserve"> new Ministerial Statement of </w:t>
      </w:r>
      <w:r w:rsidR="00736C1C">
        <w:rPr>
          <w:rStyle w:val="Instructions"/>
          <w:color w:val="000000" w:themeColor="text1"/>
          <w:szCs w:val="22"/>
          <w:u w:val="none"/>
        </w:rPr>
        <w:t>E</w:t>
      </w:r>
      <w:r w:rsidR="00E14C2D">
        <w:rPr>
          <w:rStyle w:val="Instructions"/>
          <w:color w:val="000000" w:themeColor="text1"/>
          <w:szCs w:val="22"/>
          <w:u w:val="none"/>
        </w:rPr>
        <w:t xml:space="preserve">xpectations </w:t>
      </w:r>
      <w:r w:rsidR="009B3150">
        <w:rPr>
          <w:rStyle w:val="Instructions"/>
          <w:color w:val="000000" w:themeColor="text1"/>
          <w:szCs w:val="22"/>
          <w:u w:val="none"/>
        </w:rPr>
        <w:t xml:space="preserve">for Homes Tasmania </w:t>
      </w:r>
      <w:r>
        <w:rPr>
          <w:rStyle w:val="Instructions"/>
          <w:color w:val="000000" w:themeColor="text1"/>
          <w:szCs w:val="22"/>
          <w:u w:val="none"/>
        </w:rPr>
        <w:t>will be developed</w:t>
      </w:r>
      <w:r w:rsidR="009B3150">
        <w:rPr>
          <w:rStyle w:val="Instructions"/>
          <w:color w:val="000000" w:themeColor="text1"/>
          <w:szCs w:val="22"/>
          <w:u w:val="none"/>
        </w:rPr>
        <w:t xml:space="preserve"> by no later than September this year</w:t>
      </w:r>
      <w:r w:rsidR="00736C1C">
        <w:rPr>
          <w:rStyle w:val="Instructions"/>
          <w:color w:val="000000" w:themeColor="text1"/>
          <w:szCs w:val="22"/>
          <w:u w:val="none"/>
        </w:rPr>
        <w:t>.</w:t>
      </w:r>
      <w:r w:rsidR="009B3150">
        <w:rPr>
          <w:rStyle w:val="Instructions"/>
          <w:color w:val="000000" w:themeColor="text1"/>
          <w:szCs w:val="22"/>
          <w:u w:val="none"/>
        </w:rPr>
        <w:t xml:space="preserve"> </w:t>
      </w:r>
      <w:r w:rsidR="00E14C2D">
        <w:rPr>
          <w:rStyle w:val="Instructions"/>
          <w:color w:val="000000" w:themeColor="text1"/>
          <w:szCs w:val="22"/>
          <w:u w:val="none"/>
        </w:rPr>
        <w:t>This Ministerial Statement will consider the recommendations of th</w:t>
      </w:r>
      <w:r w:rsidR="00736C1C">
        <w:rPr>
          <w:rStyle w:val="Instructions"/>
          <w:color w:val="000000" w:themeColor="text1"/>
          <w:szCs w:val="22"/>
          <w:u w:val="none"/>
        </w:rPr>
        <w:t>e</w:t>
      </w:r>
      <w:r w:rsidR="00E14C2D">
        <w:rPr>
          <w:rStyle w:val="Instructions"/>
          <w:color w:val="000000" w:themeColor="text1"/>
          <w:szCs w:val="22"/>
          <w:u w:val="none"/>
        </w:rPr>
        <w:t xml:space="preserve"> </w:t>
      </w:r>
      <w:r w:rsidR="00736C1C">
        <w:rPr>
          <w:rStyle w:val="Instructions"/>
          <w:color w:val="000000" w:themeColor="text1"/>
          <w:szCs w:val="22"/>
          <w:u w:val="none"/>
        </w:rPr>
        <w:t>R</w:t>
      </w:r>
      <w:r w:rsidR="00E14C2D">
        <w:rPr>
          <w:rStyle w:val="Instructions"/>
          <w:color w:val="000000" w:themeColor="text1"/>
          <w:szCs w:val="22"/>
          <w:u w:val="none"/>
        </w:rPr>
        <w:t xml:space="preserve">eview and will </w:t>
      </w:r>
      <w:r w:rsidR="00DF47E9">
        <w:rPr>
          <w:rStyle w:val="Instructions"/>
          <w:color w:val="000000" w:themeColor="text1"/>
          <w:szCs w:val="22"/>
          <w:u w:val="none"/>
        </w:rPr>
        <w:t xml:space="preserve">reflect </w:t>
      </w:r>
      <w:r w:rsidR="00E14C2D">
        <w:rPr>
          <w:rStyle w:val="Instructions"/>
          <w:color w:val="000000" w:themeColor="text1"/>
          <w:szCs w:val="22"/>
          <w:u w:val="none"/>
        </w:rPr>
        <w:t>that the key priorities for Homes Tasmania will be operational policy</w:t>
      </w:r>
      <w:r w:rsidR="00F04369">
        <w:rPr>
          <w:rStyle w:val="Instructions"/>
          <w:color w:val="000000" w:themeColor="text1"/>
          <w:szCs w:val="22"/>
          <w:u w:val="none"/>
        </w:rPr>
        <w:t xml:space="preserve"> and </w:t>
      </w:r>
      <w:r w:rsidR="00653569">
        <w:rPr>
          <w:rStyle w:val="Instructions"/>
          <w:color w:val="000000" w:themeColor="text1"/>
          <w:szCs w:val="22"/>
          <w:u w:val="none"/>
        </w:rPr>
        <w:t xml:space="preserve">housing </w:t>
      </w:r>
      <w:r w:rsidR="00F04369">
        <w:rPr>
          <w:rStyle w:val="Instructions"/>
          <w:color w:val="000000" w:themeColor="text1"/>
          <w:szCs w:val="22"/>
          <w:u w:val="none"/>
        </w:rPr>
        <w:t>delivery</w:t>
      </w:r>
      <w:r w:rsidR="00E14C2D">
        <w:rPr>
          <w:rStyle w:val="Instructions"/>
          <w:color w:val="000000" w:themeColor="text1"/>
          <w:szCs w:val="22"/>
          <w:u w:val="none"/>
        </w:rPr>
        <w:t xml:space="preserve">, </w:t>
      </w:r>
      <w:r w:rsidR="00736C1C">
        <w:rPr>
          <w:rStyle w:val="Instructions"/>
          <w:color w:val="000000" w:themeColor="text1"/>
          <w:szCs w:val="22"/>
          <w:u w:val="none"/>
        </w:rPr>
        <w:t xml:space="preserve">with </w:t>
      </w:r>
      <w:r w:rsidR="00E14C2D">
        <w:rPr>
          <w:rStyle w:val="Instructions"/>
          <w:color w:val="000000" w:themeColor="text1"/>
          <w:szCs w:val="22"/>
          <w:u w:val="none"/>
        </w:rPr>
        <w:t xml:space="preserve">strategic policy and regulation </w:t>
      </w:r>
      <w:r w:rsidR="00736C1C">
        <w:rPr>
          <w:rStyle w:val="Instructions"/>
          <w:color w:val="000000" w:themeColor="text1"/>
          <w:szCs w:val="22"/>
          <w:u w:val="none"/>
        </w:rPr>
        <w:t xml:space="preserve">to </w:t>
      </w:r>
      <w:r w:rsidR="00E14C2D">
        <w:rPr>
          <w:rStyle w:val="Instructions"/>
          <w:color w:val="000000" w:themeColor="text1"/>
          <w:szCs w:val="22"/>
          <w:u w:val="none"/>
        </w:rPr>
        <w:t xml:space="preserve">be under the remit of the Department of State Growth. This will support </w:t>
      </w:r>
      <w:r w:rsidR="00E14C2D" w:rsidRPr="003B57C0">
        <w:t>Ho</w:t>
      </w:r>
      <w:r w:rsidR="00E14C2D">
        <w:t>mes</w:t>
      </w:r>
      <w:r w:rsidR="00E14C2D" w:rsidRPr="003B57C0">
        <w:t xml:space="preserve"> Tasmania </w:t>
      </w:r>
      <w:r w:rsidR="00E14C2D">
        <w:t>to</w:t>
      </w:r>
      <w:r w:rsidR="00E14C2D" w:rsidRPr="003B57C0">
        <w:t xml:space="preserve"> focus on their core function of building social and affordable housing, providing tenancy services and providing homeless services and </w:t>
      </w:r>
      <w:r w:rsidR="00736C1C">
        <w:t xml:space="preserve">key </w:t>
      </w:r>
      <w:r w:rsidR="00E14C2D" w:rsidRPr="003B57C0">
        <w:t>worker accommodation</w:t>
      </w:r>
      <w:r w:rsidR="00E14C2D">
        <w:t xml:space="preserve">. </w:t>
      </w:r>
    </w:p>
    <w:p w14:paraId="0D450AD6" w14:textId="524DE33E" w:rsidR="00ED0938" w:rsidRDefault="00E14C2D" w:rsidP="00E14C2D">
      <w:pPr>
        <w:pStyle w:val="ListBullet"/>
        <w:numPr>
          <w:ilvl w:val="0"/>
          <w:numId w:val="0"/>
        </w:numPr>
      </w:pPr>
      <w:r>
        <w:t xml:space="preserve">The work of this Review, combined with the new Ministerial Statement of Expectations, will lead to changes in how the housing policy system operates. </w:t>
      </w:r>
    </w:p>
    <w:p w14:paraId="3CDF0C75" w14:textId="62F6248A" w:rsidR="00E14C2D" w:rsidRPr="00FD4250" w:rsidRDefault="00163676" w:rsidP="00E14C2D">
      <w:pPr>
        <w:pStyle w:val="ListBullet"/>
        <w:numPr>
          <w:ilvl w:val="0"/>
          <w:numId w:val="0"/>
        </w:numPr>
        <w:rPr>
          <w:rStyle w:val="Instructions"/>
          <w:color w:val="000000" w:themeColor="text1"/>
          <w:szCs w:val="22"/>
          <w:u w:val="none"/>
        </w:rPr>
      </w:pPr>
      <w:r>
        <w:t xml:space="preserve">Although not a direct recommendation of this </w:t>
      </w:r>
      <w:r w:rsidR="00736C1C">
        <w:t>R</w:t>
      </w:r>
      <w:r>
        <w:t xml:space="preserve">eview, to </w:t>
      </w:r>
      <w:r w:rsidR="00E14C2D">
        <w:t>ensure that the Tasmania Housing Strategy and associated Action Plan are up to date</w:t>
      </w:r>
      <w:r w:rsidR="006238E3">
        <w:t xml:space="preserve">, relevant </w:t>
      </w:r>
      <w:r w:rsidR="00E14C2D">
        <w:t>and operat</w:t>
      </w:r>
      <w:r w:rsidR="00736C1C">
        <w:t>ing</w:t>
      </w:r>
      <w:r w:rsidR="00E14C2D">
        <w:t xml:space="preserve"> effectively in the new policy environment, the Department of State Growth will </w:t>
      </w:r>
      <w:r w:rsidR="00E14C2D" w:rsidDel="00ED0938">
        <w:t xml:space="preserve">examine </w:t>
      </w:r>
      <w:r>
        <w:t>these documents</w:t>
      </w:r>
      <w:r w:rsidR="00E14C2D">
        <w:t xml:space="preserve"> to determine if any action or </w:t>
      </w:r>
      <w:r w:rsidR="00E14C2D" w:rsidDel="00163676">
        <w:t xml:space="preserve">review </w:t>
      </w:r>
      <w:r>
        <w:t xml:space="preserve">change </w:t>
      </w:r>
      <w:r w:rsidR="00E14C2D">
        <w:t xml:space="preserve">is required. </w:t>
      </w:r>
    </w:p>
    <w:p w14:paraId="2C7C6B9B" w14:textId="145E6A36" w:rsidR="00C60DEA" w:rsidRDefault="00163676">
      <w:pPr>
        <w:rPr>
          <w:rFonts w:ascii="Arial" w:hAnsi="Arial"/>
        </w:rPr>
      </w:pPr>
      <w:r w:rsidRPr="00607AA6">
        <w:rPr>
          <w:rFonts w:ascii="Arial" w:hAnsi="Arial"/>
        </w:rPr>
        <w:t>A more d</w:t>
      </w:r>
      <w:r>
        <w:rPr>
          <w:rFonts w:ascii="Arial" w:hAnsi="Arial"/>
        </w:rPr>
        <w:t>etailed response to each recommendation is provided in the next section.</w:t>
      </w:r>
    </w:p>
    <w:p w14:paraId="1ECCB18B" w14:textId="051D4874" w:rsidR="007854F5" w:rsidRDefault="004C4A2D">
      <w:pPr>
        <w:rPr>
          <w:rFonts w:ascii="Arial" w:hAnsi="Arial"/>
        </w:rPr>
      </w:pPr>
      <w:r>
        <w:rPr>
          <w:noProof/>
        </w:rPr>
        <w:drawing>
          <wp:anchor distT="0" distB="0" distL="114300" distR="114300" simplePos="0" relativeHeight="251669511" behindDoc="0" locked="0" layoutInCell="1" allowOverlap="1" wp14:anchorId="5EBCEF0D" wp14:editId="4E59F3E3">
            <wp:simplePos x="0" y="0"/>
            <wp:positionH relativeFrom="margin">
              <wp:posOffset>-635</wp:posOffset>
            </wp:positionH>
            <wp:positionV relativeFrom="paragraph">
              <wp:posOffset>222308</wp:posOffset>
            </wp:positionV>
            <wp:extent cx="6472555" cy="3719195"/>
            <wp:effectExtent l="0" t="0" r="4445" b="0"/>
            <wp:wrapTopAndBottom/>
            <wp:docPr id="1723278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t="3607" b="10289"/>
                    <a:stretch/>
                  </pic:blipFill>
                  <pic:spPr bwMode="auto">
                    <a:xfrm>
                      <a:off x="0" y="0"/>
                      <a:ext cx="6472555" cy="3719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AD4CCF" w14:textId="482C0FF8" w:rsidR="00B41FA1" w:rsidRDefault="00B41FA1">
      <w:pPr>
        <w:rPr>
          <w:rFonts w:ascii="Arial" w:eastAsiaTheme="majorEastAsia" w:hAnsi="Arial" w:cstheme="majorBidi"/>
          <w:color w:val="002060"/>
          <w:sz w:val="48"/>
          <w:szCs w:val="32"/>
        </w:rPr>
      </w:pPr>
      <w:r>
        <w:br w:type="page"/>
      </w:r>
    </w:p>
    <w:p w14:paraId="6E4F2EB0" w14:textId="2225AEBD" w:rsidR="00C556AD" w:rsidRPr="009B00C8" w:rsidRDefault="00DC30CE" w:rsidP="00956E10">
      <w:pPr>
        <w:pStyle w:val="Heading2"/>
        <w:rPr>
          <w:rStyle w:val="Instructions"/>
          <w:color w:val="000000" w:themeColor="text1"/>
          <w:szCs w:val="22"/>
          <w:u w:val="none"/>
        </w:rPr>
      </w:pPr>
      <w:bookmarkStart w:id="13" w:name="_Toc199409091"/>
      <w:r>
        <w:lastRenderedPageBreak/>
        <w:t xml:space="preserve">Government response to </w:t>
      </w:r>
      <w:r w:rsidR="008153EF">
        <w:t xml:space="preserve">Independent </w:t>
      </w:r>
      <w:r>
        <w:t>Review r</w:t>
      </w:r>
      <w:r w:rsidR="00C556AD">
        <w:t>ec</w:t>
      </w:r>
      <w:r w:rsidR="00C556AD" w:rsidRPr="004C4A2D">
        <w:t>omm</w:t>
      </w:r>
      <w:r w:rsidR="00C556AD">
        <w:t>endations</w:t>
      </w:r>
      <w:bookmarkEnd w:id="13"/>
    </w:p>
    <w:p w14:paraId="39A7BA16" w14:textId="26E68E9F" w:rsidR="004224D7" w:rsidRPr="007C2602" w:rsidRDefault="00A7016E" w:rsidP="004224D7">
      <w:pPr>
        <w:pStyle w:val="BodyText"/>
        <w:rPr>
          <w:rFonts w:cs="Arial"/>
        </w:rPr>
      </w:pPr>
      <w:r w:rsidRPr="007C2602">
        <w:rPr>
          <w:rStyle w:val="Instructions"/>
          <w:rFonts w:cs="Arial"/>
          <w:color w:val="000000" w:themeColor="text1"/>
          <w:u w:val="none"/>
        </w:rPr>
        <w:t>The Review has provided a series of recommendations designed to ma</w:t>
      </w:r>
      <w:r w:rsidR="00736C1C" w:rsidRPr="007C2602">
        <w:rPr>
          <w:rStyle w:val="Instructions"/>
          <w:rFonts w:cs="Arial"/>
          <w:color w:val="000000" w:themeColor="text1"/>
          <w:u w:val="none"/>
        </w:rPr>
        <w:t>k</w:t>
      </w:r>
      <w:r w:rsidRPr="007C2602">
        <w:rPr>
          <w:rStyle w:val="Instructions"/>
          <w:rFonts w:cs="Arial"/>
          <w:color w:val="000000" w:themeColor="text1"/>
          <w:u w:val="none"/>
        </w:rPr>
        <w:t xml:space="preserve">e impactful change, improve </w:t>
      </w:r>
      <w:r w:rsidR="00461927">
        <w:rPr>
          <w:rStyle w:val="Instructions"/>
          <w:rFonts w:cs="Arial"/>
          <w:color w:val="000000" w:themeColor="text1"/>
          <w:u w:val="none"/>
        </w:rPr>
        <w:br/>
      </w:r>
      <w:r w:rsidRPr="007C2602">
        <w:rPr>
          <w:rStyle w:val="Instructions"/>
          <w:rFonts w:cs="Arial"/>
          <w:color w:val="000000" w:themeColor="text1"/>
          <w:u w:val="none"/>
        </w:rPr>
        <w:t>the functioning of Homes Tasmania</w:t>
      </w:r>
      <w:r w:rsidR="00736C1C" w:rsidRPr="007C2602">
        <w:rPr>
          <w:rStyle w:val="Instructions"/>
          <w:rFonts w:cs="Arial"/>
          <w:color w:val="000000" w:themeColor="text1"/>
          <w:u w:val="none"/>
        </w:rPr>
        <w:t xml:space="preserve"> and</w:t>
      </w:r>
      <w:r w:rsidRPr="007C2602">
        <w:rPr>
          <w:rStyle w:val="Instructions"/>
          <w:rFonts w:cs="Arial"/>
          <w:color w:val="000000" w:themeColor="text1"/>
          <w:u w:val="none"/>
        </w:rPr>
        <w:t xml:space="preserve"> in turn</w:t>
      </w:r>
      <w:r w:rsidR="3E6F816A" w:rsidRPr="007C2602">
        <w:rPr>
          <w:rStyle w:val="Instructions"/>
          <w:rFonts w:cs="Arial"/>
          <w:color w:val="000000" w:themeColor="text1"/>
          <w:u w:val="none"/>
        </w:rPr>
        <w:t>,</w:t>
      </w:r>
      <w:r w:rsidRPr="007C2602">
        <w:rPr>
          <w:rStyle w:val="Instructions"/>
          <w:rFonts w:cs="Arial"/>
          <w:color w:val="000000" w:themeColor="text1"/>
          <w:u w:val="none"/>
        </w:rPr>
        <w:t xml:space="preserve"> improve outcomes for the Tasmanian community. </w:t>
      </w:r>
      <w:r w:rsidR="00461927">
        <w:rPr>
          <w:rStyle w:val="Instructions"/>
          <w:rFonts w:cs="Arial"/>
          <w:color w:val="000000" w:themeColor="text1"/>
          <w:u w:val="none"/>
        </w:rPr>
        <w:br/>
      </w:r>
      <w:r w:rsidR="004224D7" w:rsidRPr="007C2602">
        <w:rPr>
          <w:rFonts w:cs="Arial"/>
        </w:rPr>
        <w:t xml:space="preserve">The Tasmanian Government’s response to the recommendations of </w:t>
      </w:r>
      <w:r w:rsidR="003C30DD" w:rsidRPr="007C2602">
        <w:rPr>
          <w:rFonts w:cs="Arial"/>
        </w:rPr>
        <w:t>the</w:t>
      </w:r>
      <w:r w:rsidR="004224D7" w:rsidRPr="007C2602">
        <w:rPr>
          <w:rFonts w:cs="Arial"/>
        </w:rPr>
        <w:t xml:space="preserve"> </w:t>
      </w:r>
      <w:r w:rsidR="003C30DD" w:rsidRPr="007C2602">
        <w:rPr>
          <w:rFonts w:cs="Arial"/>
        </w:rPr>
        <w:t xml:space="preserve">Review </w:t>
      </w:r>
      <w:r w:rsidR="00274AF8" w:rsidRPr="007C2602">
        <w:rPr>
          <w:rFonts w:cs="Arial"/>
        </w:rPr>
        <w:t>is</w:t>
      </w:r>
      <w:r w:rsidR="004224D7" w:rsidRPr="007C2602">
        <w:rPr>
          <w:rFonts w:cs="Arial"/>
        </w:rPr>
        <w:t xml:space="preserve"> detailed below. </w:t>
      </w:r>
    </w:p>
    <w:p w14:paraId="4D5727BE" w14:textId="77777777" w:rsidR="00D21D99" w:rsidRDefault="00D21D99" w:rsidP="00D21D99">
      <w:pPr>
        <w:pStyle w:val="BulletNumbered"/>
      </w:pPr>
    </w:p>
    <w:tbl>
      <w:tblPr>
        <w:tblStyle w:val="TableGrid"/>
        <w:tblpPr w:leftFromText="180" w:rightFromText="180" w:vertAnchor="text" w:tblpY="1"/>
        <w:tblOverlap w:val="never"/>
        <w:tblW w:w="10201" w:type="dxa"/>
        <w:tblBorders>
          <w:top w:val="single" w:sz="4" w:space="0" w:color="16AAC6"/>
          <w:left w:val="single" w:sz="4" w:space="0" w:color="16AAC6"/>
          <w:bottom w:val="single" w:sz="4" w:space="0" w:color="16AAC6"/>
          <w:right w:val="single" w:sz="4" w:space="0" w:color="16AAC6"/>
          <w:insideH w:val="single" w:sz="4" w:space="0" w:color="16AAC6"/>
          <w:insideV w:val="single" w:sz="4" w:space="0" w:color="16AAC6"/>
        </w:tblBorders>
        <w:tblLook w:val="04A0" w:firstRow="1" w:lastRow="0" w:firstColumn="1" w:lastColumn="0" w:noHBand="0" w:noVBand="1"/>
      </w:tblPr>
      <w:tblGrid>
        <w:gridCol w:w="461"/>
        <w:gridCol w:w="9740"/>
      </w:tblGrid>
      <w:tr w:rsidR="00D21D99" w14:paraId="65F45D45" w14:textId="77777777" w:rsidTr="0096257C">
        <w:tc>
          <w:tcPr>
            <w:tcW w:w="461" w:type="dxa"/>
            <w:tcBorders>
              <w:top w:val="single" w:sz="4" w:space="0" w:color="16AAC6"/>
              <w:left w:val="single" w:sz="4" w:space="0" w:color="16AAC6"/>
              <w:bottom w:val="single" w:sz="4" w:space="0" w:color="FFFFFF" w:themeColor="background1"/>
              <w:right w:val="single" w:sz="4" w:space="0" w:color="FFFFFF" w:themeColor="background1"/>
            </w:tcBorders>
            <w:shd w:val="clear" w:color="auto" w:fill="16AAC6"/>
          </w:tcPr>
          <w:p w14:paraId="4438D777" w14:textId="77777777" w:rsidR="00D21D99" w:rsidRPr="004C4A2D" w:rsidRDefault="00D21D99" w:rsidP="00FF1590">
            <w:pPr>
              <w:pStyle w:val="ListBullet"/>
              <w:numPr>
                <w:ilvl w:val="0"/>
                <w:numId w:val="0"/>
              </w:numPr>
              <w:rPr>
                <w:rStyle w:val="Instructions"/>
                <w:color w:val="FFFFFF" w:themeColor="background1"/>
                <w:szCs w:val="22"/>
                <w:u w:val="none"/>
              </w:rPr>
            </w:pPr>
            <w:r w:rsidRPr="004C4A2D">
              <w:rPr>
                <w:rStyle w:val="Instructions"/>
                <w:color w:val="FFFFFF" w:themeColor="background1"/>
                <w:szCs w:val="22"/>
                <w:u w:val="none"/>
              </w:rPr>
              <w:t>1</w:t>
            </w:r>
          </w:p>
        </w:tc>
        <w:tc>
          <w:tcPr>
            <w:tcW w:w="9740" w:type="dxa"/>
            <w:tcBorders>
              <w:top w:val="single" w:sz="4" w:space="0" w:color="16AAC6"/>
              <w:left w:val="single" w:sz="4" w:space="0" w:color="FFFFFF" w:themeColor="background1"/>
            </w:tcBorders>
            <w:shd w:val="clear" w:color="auto" w:fill="CEF3FA"/>
          </w:tcPr>
          <w:p w14:paraId="0FD0FC24" w14:textId="77777777" w:rsidR="00D21D99" w:rsidRPr="00D21D99" w:rsidRDefault="00D21D99" w:rsidP="00D21D99">
            <w:pPr>
              <w:pStyle w:val="BulletNumbered"/>
              <w:ind w:left="0" w:firstLine="0"/>
              <w:rPr>
                <w:b/>
                <w:bCs/>
              </w:rPr>
            </w:pPr>
            <w:r w:rsidRPr="00D21D99">
              <w:rPr>
                <w:b/>
                <w:bCs/>
              </w:rPr>
              <w:t xml:space="preserve">Complete the planned Review of Finance of Homes Tasmania. </w:t>
            </w:r>
          </w:p>
          <w:p w14:paraId="731ACB40" w14:textId="6E376F2F" w:rsidR="00D21D99" w:rsidRDefault="00D21D99" w:rsidP="00FF1590">
            <w:pPr>
              <w:pStyle w:val="BulletNumbered"/>
              <w:ind w:left="0" w:firstLine="0"/>
              <w:rPr>
                <w:rStyle w:val="Instructions"/>
                <w:color w:val="000000" w:themeColor="text1"/>
                <w:szCs w:val="22"/>
                <w:u w:val="none"/>
              </w:rPr>
            </w:pPr>
            <w:r w:rsidRPr="00D21D99">
              <w:t>This work will be undertaken by the Department of State Growth, as part of this change process. Work is envisaged to be completed by the end of 2025.</w:t>
            </w:r>
          </w:p>
        </w:tc>
      </w:tr>
      <w:tr w:rsidR="00D21D99" w14:paraId="75DCBE62" w14:textId="77777777" w:rsidTr="0096257C">
        <w:tc>
          <w:tcPr>
            <w:tcW w:w="461" w:type="dxa"/>
            <w:tcBorders>
              <w:top w:val="single" w:sz="4" w:space="0" w:color="FFFFFF" w:themeColor="background1"/>
              <w:left w:val="single" w:sz="4" w:space="0" w:color="16AAC6"/>
              <w:bottom w:val="single" w:sz="4" w:space="0" w:color="FFFFFF" w:themeColor="background1"/>
              <w:right w:val="single" w:sz="4" w:space="0" w:color="FFFFFF" w:themeColor="background1"/>
            </w:tcBorders>
            <w:shd w:val="clear" w:color="auto" w:fill="16AAC6"/>
          </w:tcPr>
          <w:p w14:paraId="6AAB0631" w14:textId="77777777" w:rsidR="00D21D99" w:rsidRPr="004C4A2D" w:rsidRDefault="00D21D99" w:rsidP="00FF1590">
            <w:pPr>
              <w:pStyle w:val="ListBullet"/>
              <w:numPr>
                <w:ilvl w:val="0"/>
                <w:numId w:val="0"/>
              </w:numPr>
              <w:rPr>
                <w:rStyle w:val="Instructions"/>
                <w:color w:val="FFFFFF" w:themeColor="background1"/>
                <w:szCs w:val="22"/>
                <w:u w:val="none"/>
              </w:rPr>
            </w:pPr>
            <w:r w:rsidRPr="004C4A2D">
              <w:rPr>
                <w:rStyle w:val="Instructions"/>
                <w:color w:val="FFFFFF" w:themeColor="background1"/>
                <w:szCs w:val="22"/>
                <w:u w:val="none"/>
              </w:rPr>
              <w:t>2</w:t>
            </w:r>
          </w:p>
        </w:tc>
        <w:tc>
          <w:tcPr>
            <w:tcW w:w="9740" w:type="dxa"/>
            <w:tcBorders>
              <w:left w:val="single" w:sz="4" w:space="0" w:color="FFFFFF" w:themeColor="background1"/>
            </w:tcBorders>
            <w:shd w:val="clear" w:color="auto" w:fill="CEF3FA"/>
          </w:tcPr>
          <w:p w14:paraId="3E1975BE" w14:textId="77777777" w:rsidR="00D21D99" w:rsidRDefault="00D21D99" w:rsidP="00FF1590">
            <w:pPr>
              <w:pStyle w:val="BulletNumbered"/>
              <w:ind w:left="0" w:firstLine="0"/>
              <w:rPr>
                <w:b/>
                <w:bCs/>
              </w:rPr>
            </w:pPr>
            <w:r>
              <w:rPr>
                <w:b/>
                <w:bCs/>
              </w:rPr>
              <w:t>Regardless of the quantum, provide certainty to Homes Tasmania regarding the funding envelope they can work within.</w:t>
            </w:r>
          </w:p>
          <w:p w14:paraId="71C6E219" w14:textId="77777777" w:rsidR="00D21D99" w:rsidRPr="00C17F98" w:rsidRDefault="00D21D99" w:rsidP="00FF1590">
            <w:pPr>
              <w:pStyle w:val="BulletNumbered"/>
              <w:ind w:left="0" w:firstLine="0"/>
            </w:pPr>
            <w:r w:rsidRPr="00C17F98">
              <w:t>This issue will be incorporated into the Financial Review being conducted by the Department of State Growth.</w:t>
            </w:r>
          </w:p>
        </w:tc>
      </w:tr>
      <w:tr w:rsidR="00D21D99" w14:paraId="7D6676B7" w14:textId="77777777" w:rsidTr="0096257C">
        <w:tc>
          <w:tcPr>
            <w:tcW w:w="461" w:type="dxa"/>
            <w:tcBorders>
              <w:top w:val="single" w:sz="4" w:space="0" w:color="FFFFFF" w:themeColor="background1"/>
              <w:left w:val="single" w:sz="4" w:space="0" w:color="16AAC6"/>
              <w:bottom w:val="single" w:sz="4" w:space="0" w:color="FFFFFF" w:themeColor="background1"/>
              <w:right w:val="single" w:sz="4" w:space="0" w:color="FFFFFF" w:themeColor="background1"/>
            </w:tcBorders>
            <w:shd w:val="clear" w:color="auto" w:fill="16AAC6"/>
          </w:tcPr>
          <w:p w14:paraId="3080A59F" w14:textId="77777777" w:rsidR="00D21D99" w:rsidRPr="004C4A2D" w:rsidRDefault="00D21D99" w:rsidP="00FF1590">
            <w:pPr>
              <w:pStyle w:val="ListBullet"/>
              <w:numPr>
                <w:ilvl w:val="0"/>
                <w:numId w:val="0"/>
              </w:numPr>
              <w:rPr>
                <w:rStyle w:val="Instructions"/>
                <w:color w:val="FFFFFF" w:themeColor="background1"/>
                <w:szCs w:val="22"/>
                <w:u w:val="none"/>
              </w:rPr>
            </w:pPr>
            <w:r w:rsidRPr="004C4A2D">
              <w:rPr>
                <w:rStyle w:val="Instructions"/>
                <w:color w:val="FFFFFF" w:themeColor="background1"/>
                <w:szCs w:val="22"/>
                <w:u w:val="none"/>
              </w:rPr>
              <w:t>3</w:t>
            </w:r>
          </w:p>
        </w:tc>
        <w:tc>
          <w:tcPr>
            <w:tcW w:w="9740" w:type="dxa"/>
            <w:tcBorders>
              <w:left w:val="single" w:sz="4" w:space="0" w:color="FFFFFF" w:themeColor="background1"/>
            </w:tcBorders>
            <w:shd w:val="clear" w:color="auto" w:fill="CEF3FA"/>
          </w:tcPr>
          <w:p w14:paraId="525E8D84" w14:textId="77777777" w:rsidR="00D21D99" w:rsidRDefault="00D21D99" w:rsidP="00FF1590">
            <w:pPr>
              <w:pStyle w:val="BulletNumbered"/>
              <w:ind w:left="0" w:firstLine="0"/>
              <w:rPr>
                <w:b/>
                <w:bCs/>
              </w:rPr>
            </w:pPr>
            <w:r w:rsidRPr="00A71A34">
              <w:rPr>
                <w:b/>
                <w:bCs/>
              </w:rPr>
              <w:t xml:space="preserve">Consider a suite of authority specific modifications to the Treasurer Instructions, and other restrictive policies, that limit Homes Tasmania from engaging in innovative partnerships to deliver new housing. </w:t>
            </w:r>
          </w:p>
          <w:p w14:paraId="1067E91B" w14:textId="5FB146AC" w:rsidR="00D21D99" w:rsidRDefault="00D21D99" w:rsidP="00FF1590">
            <w:pPr>
              <w:pStyle w:val="BulletNumbered"/>
              <w:ind w:left="0" w:firstLine="0"/>
              <w:rPr>
                <w:rStyle w:val="Instructions"/>
                <w:color w:val="000000" w:themeColor="text1"/>
                <w:szCs w:val="22"/>
                <w:u w:val="none"/>
              </w:rPr>
            </w:pPr>
            <w:r w:rsidRPr="00D21D99">
              <w:t xml:space="preserve">The Department of State Growth will work with the Department of Treasury and Finance and Homes Tasmania to determine the relevant exemptions to the Treasurer’s Instructions which may be required to achieve improved purchasing and partnership outcomes for Homes Tasmania. </w:t>
            </w:r>
          </w:p>
        </w:tc>
      </w:tr>
      <w:tr w:rsidR="00D21D99" w14:paraId="17748212" w14:textId="77777777" w:rsidTr="0096257C">
        <w:tc>
          <w:tcPr>
            <w:tcW w:w="461" w:type="dxa"/>
            <w:tcBorders>
              <w:top w:val="single" w:sz="4" w:space="0" w:color="FFFFFF" w:themeColor="background1"/>
              <w:left w:val="single" w:sz="4" w:space="0" w:color="16AAC6"/>
              <w:bottom w:val="single" w:sz="4" w:space="0" w:color="FFFFFF" w:themeColor="background1"/>
              <w:right w:val="single" w:sz="4" w:space="0" w:color="FFFFFF" w:themeColor="background1"/>
            </w:tcBorders>
            <w:shd w:val="clear" w:color="auto" w:fill="16AAC6"/>
          </w:tcPr>
          <w:p w14:paraId="5EE53660" w14:textId="77777777" w:rsidR="00D21D99" w:rsidRPr="004C4A2D" w:rsidRDefault="00D21D99" w:rsidP="00FF1590">
            <w:pPr>
              <w:pStyle w:val="ListBullet"/>
              <w:numPr>
                <w:ilvl w:val="0"/>
                <w:numId w:val="0"/>
              </w:numPr>
              <w:rPr>
                <w:rStyle w:val="Instructions"/>
                <w:color w:val="FFFFFF" w:themeColor="background1"/>
                <w:szCs w:val="22"/>
                <w:u w:val="none"/>
              </w:rPr>
            </w:pPr>
            <w:r w:rsidRPr="004C4A2D">
              <w:rPr>
                <w:rStyle w:val="Instructions"/>
                <w:color w:val="FFFFFF" w:themeColor="background1"/>
                <w:szCs w:val="22"/>
                <w:u w:val="none"/>
              </w:rPr>
              <w:t>4</w:t>
            </w:r>
          </w:p>
        </w:tc>
        <w:tc>
          <w:tcPr>
            <w:tcW w:w="9740" w:type="dxa"/>
            <w:tcBorders>
              <w:left w:val="single" w:sz="4" w:space="0" w:color="FFFFFF" w:themeColor="background1"/>
            </w:tcBorders>
            <w:shd w:val="clear" w:color="auto" w:fill="CEF3FA"/>
          </w:tcPr>
          <w:p w14:paraId="1A63F04C" w14:textId="77777777" w:rsidR="00D21D99" w:rsidRDefault="00D21D99" w:rsidP="00FF1590">
            <w:pPr>
              <w:pStyle w:val="BulletNumbered"/>
              <w:ind w:left="0" w:firstLine="0"/>
              <w:rPr>
                <w:b/>
                <w:bCs/>
              </w:rPr>
            </w:pPr>
            <w:r w:rsidRPr="00A71A34">
              <w:rPr>
                <w:b/>
                <w:bCs/>
              </w:rPr>
              <w:t>Require Homes Tasmania to report on any departures from Treasurer’s Instructions or public policy requirements.</w:t>
            </w:r>
          </w:p>
          <w:p w14:paraId="07064AE9" w14:textId="77777777" w:rsidR="00D21D99" w:rsidRDefault="00D21D99" w:rsidP="00FF1590">
            <w:pPr>
              <w:pStyle w:val="BulletNumbered"/>
              <w:ind w:left="0" w:firstLine="0"/>
              <w:rPr>
                <w:rStyle w:val="Instructions"/>
                <w:color w:val="000000" w:themeColor="text1"/>
                <w:szCs w:val="22"/>
                <w:u w:val="none"/>
              </w:rPr>
            </w:pPr>
            <w:r>
              <w:t xml:space="preserve">This will be considered as part of the response to recommendation three. </w:t>
            </w:r>
          </w:p>
        </w:tc>
      </w:tr>
      <w:tr w:rsidR="00D21D99" w14:paraId="4DB62078" w14:textId="77777777" w:rsidTr="00B048E4">
        <w:tc>
          <w:tcPr>
            <w:tcW w:w="461" w:type="dxa"/>
            <w:tcBorders>
              <w:top w:val="single" w:sz="4" w:space="0" w:color="FFFFFF" w:themeColor="background1"/>
              <w:left w:val="single" w:sz="4" w:space="0" w:color="16AAC6"/>
              <w:bottom w:val="single" w:sz="4" w:space="0" w:color="FFFFFF" w:themeColor="background1"/>
              <w:right w:val="single" w:sz="4" w:space="0" w:color="FFFFFF" w:themeColor="background1"/>
            </w:tcBorders>
            <w:shd w:val="clear" w:color="auto" w:fill="16AAC6"/>
          </w:tcPr>
          <w:p w14:paraId="6BAEB392" w14:textId="77777777" w:rsidR="00D21D99" w:rsidRPr="004C4A2D" w:rsidRDefault="00D21D99" w:rsidP="00FF1590">
            <w:pPr>
              <w:pStyle w:val="ListBullet"/>
              <w:numPr>
                <w:ilvl w:val="0"/>
                <w:numId w:val="0"/>
              </w:numPr>
              <w:rPr>
                <w:rStyle w:val="Instructions"/>
                <w:color w:val="FFFFFF" w:themeColor="background1"/>
                <w:szCs w:val="22"/>
                <w:u w:val="none"/>
              </w:rPr>
            </w:pPr>
            <w:r w:rsidRPr="004C4A2D">
              <w:rPr>
                <w:rStyle w:val="Instructions"/>
                <w:color w:val="FFFFFF" w:themeColor="background1"/>
                <w:szCs w:val="22"/>
                <w:u w:val="none"/>
              </w:rPr>
              <w:t>5</w:t>
            </w:r>
          </w:p>
        </w:tc>
        <w:tc>
          <w:tcPr>
            <w:tcW w:w="9740" w:type="dxa"/>
            <w:tcBorders>
              <w:left w:val="single" w:sz="4" w:space="0" w:color="FFFFFF" w:themeColor="background1"/>
            </w:tcBorders>
            <w:shd w:val="clear" w:color="auto" w:fill="CEF3FA"/>
          </w:tcPr>
          <w:p w14:paraId="282BC95F" w14:textId="77777777" w:rsidR="00D21D99" w:rsidRDefault="00D21D99" w:rsidP="00FF1590">
            <w:pPr>
              <w:pStyle w:val="BulletNumbered"/>
              <w:ind w:left="0" w:firstLine="0"/>
              <w:rPr>
                <w:b/>
                <w:bCs/>
              </w:rPr>
            </w:pPr>
            <w:r w:rsidRPr="00A71A34">
              <w:rPr>
                <w:b/>
                <w:bCs/>
              </w:rPr>
              <w:t>Urgently clarify whether the Board of Homes Tasmania is a governance board, empowered to manage the authority, consistent with government policy, but at arm’s length from the Minister, or whether the government needs more direct control of the operations of the authority.</w:t>
            </w:r>
          </w:p>
          <w:p w14:paraId="32D9198E" w14:textId="2EF12434" w:rsidR="00D21D99" w:rsidRPr="00543E45" w:rsidRDefault="00D21D99" w:rsidP="00FF1590">
            <w:pPr>
              <w:pStyle w:val="BulletNumbered"/>
              <w:ind w:left="0" w:firstLine="0"/>
              <w:rPr>
                <w:rStyle w:val="Instructions"/>
                <w:rFonts w:cs="Arial"/>
                <w:color w:val="000000" w:themeColor="text1"/>
                <w:szCs w:val="22"/>
                <w:u w:val="none"/>
              </w:rPr>
            </w:pPr>
            <w:r w:rsidRPr="007C2602">
              <w:rPr>
                <w:rFonts w:cs="Arial"/>
              </w:rPr>
              <w:t>The Board has been charged with managing the Authority, consistent with Government policy. An updated Ministerial Statement of Expectations will be issued no later than 30 September 2025 to reflect proposed arrangements.</w:t>
            </w:r>
          </w:p>
        </w:tc>
      </w:tr>
      <w:tr w:rsidR="0096257C" w14:paraId="7E12D614" w14:textId="77777777" w:rsidTr="00B048E4">
        <w:tc>
          <w:tcPr>
            <w:tcW w:w="461" w:type="dxa"/>
            <w:tcBorders>
              <w:top w:val="single" w:sz="4" w:space="0" w:color="FFFFFF" w:themeColor="background1"/>
              <w:left w:val="single" w:sz="4" w:space="0" w:color="16AAC6"/>
              <w:bottom w:val="nil"/>
              <w:right w:val="single" w:sz="4" w:space="0" w:color="FFFFFF" w:themeColor="background1"/>
            </w:tcBorders>
            <w:shd w:val="clear" w:color="auto" w:fill="16AAC6"/>
          </w:tcPr>
          <w:p w14:paraId="556C418D" w14:textId="7D845DBE" w:rsidR="0096257C" w:rsidRPr="004C4A2D" w:rsidRDefault="0096257C" w:rsidP="0096257C">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6</w:t>
            </w:r>
          </w:p>
        </w:tc>
        <w:tc>
          <w:tcPr>
            <w:tcW w:w="9740" w:type="dxa"/>
            <w:tcBorders>
              <w:left w:val="single" w:sz="4" w:space="0" w:color="FFFFFF" w:themeColor="background1"/>
            </w:tcBorders>
            <w:shd w:val="clear" w:color="auto" w:fill="CEF3FA"/>
          </w:tcPr>
          <w:p w14:paraId="5A0D37BC" w14:textId="77777777" w:rsidR="0096257C" w:rsidRDefault="0096257C" w:rsidP="0096257C">
            <w:pPr>
              <w:pStyle w:val="BulletNumbered"/>
              <w:ind w:left="0" w:firstLine="0"/>
              <w:rPr>
                <w:b/>
                <w:bCs/>
              </w:rPr>
            </w:pPr>
            <w:r w:rsidRPr="62F088F0">
              <w:rPr>
                <w:b/>
                <w:bCs/>
              </w:rPr>
              <w:t>Be</w:t>
            </w:r>
            <w:r w:rsidRPr="00A71A34">
              <w:rPr>
                <w:b/>
                <w:bCs/>
              </w:rPr>
              <w:t xml:space="preserve"> clear that strategic housing and homelessness policy is the responsibility of the Department of State Growth.</w:t>
            </w:r>
          </w:p>
          <w:p w14:paraId="351B943E" w14:textId="09C6D4FE" w:rsidR="0096257C" w:rsidRPr="00A71A34" w:rsidRDefault="0096257C" w:rsidP="0096257C">
            <w:pPr>
              <w:pStyle w:val="BulletNumbered"/>
              <w:ind w:left="0" w:firstLine="0"/>
              <w:rPr>
                <w:b/>
                <w:bCs/>
              </w:rPr>
            </w:pPr>
            <w:r w:rsidRPr="007C2602">
              <w:rPr>
                <w:rFonts w:cs="Arial"/>
              </w:rPr>
              <w:t>Strategic housing and homelessness policy will return to central agencies, specifically</w:t>
            </w:r>
            <w:r>
              <w:rPr>
                <w:rFonts w:cs="Arial"/>
              </w:rPr>
              <w:t xml:space="preserve"> to be led by</w:t>
            </w:r>
            <w:r w:rsidRPr="007C2602">
              <w:rPr>
                <w:rFonts w:cs="Arial"/>
              </w:rPr>
              <w:t xml:space="preserve"> the Department of State Growth. </w:t>
            </w:r>
            <w:r w:rsidRPr="00645779">
              <w:rPr>
                <w:rFonts w:cs="Arial"/>
              </w:rPr>
              <w:t xml:space="preserve">The Department of State Growth will act as </w:t>
            </w:r>
            <w:r w:rsidR="00981020">
              <w:rPr>
                <w:rFonts w:cs="Arial"/>
              </w:rPr>
              <w:t>s</w:t>
            </w:r>
            <w:r w:rsidRPr="00645779">
              <w:rPr>
                <w:rFonts w:cs="Arial"/>
              </w:rPr>
              <w:t>teward for strategic housing and homelessness policy, informed and in partnership with key partner agencies, including the Department of Education Children and Young People, the Department of Justice, the Department of Premier and Cabinet, and the Department of Health. Th</w:t>
            </w:r>
            <w:r w:rsidRPr="007C2602">
              <w:rPr>
                <w:rFonts w:eastAsiaTheme="minorEastAsia" w:cs="Arial"/>
              </w:rPr>
              <w:t>e Department of State Growth and Homes Tasmania will work through thi</w:t>
            </w:r>
            <w:r w:rsidRPr="007C2602">
              <w:rPr>
                <w:rFonts w:cs="Arial"/>
              </w:rPr>
              <w:t>s transition, and if any direction is needed, it will be incorporated into the revised Ministerial Statement of Expectations for Homes Tasmania.</w:t>
            </w:r>
          </w:p>
        </w:tc>
      </w:tr>
    </w:tbl>
    <w:p w14:paraId="09B6ADAB" w14:textId="7406B20F" w:rsidR="005C3B54" w:rsidRDefault="005C3B54">
      <w:r>
        <w:br w:type="page"/>
      </w:r>
    </w:p>
    <w:p w14:paraId="7EDB4B67" w14:textId="513FCC03" w:rsidR="00461927" w:rsidRDefault="0096257C">
      <w:pPr>
        <w:rPr>
          <w:noProof/>
        </w:rPr>
      </w:pPr>
      <w:r>
        <w:rPr>
          <w:noProof/>
        </w:rPr>
        <w:lastRenderedPageBreak/>
        <w:drawing>
          <wp:anchor distT="0" distB="0" distL="114300" distR="114300" simplePos="0" relativeHeight="251682823" behindDoc="0" locked="0" layoutInCell="1" allowOverlap="1" wp14:anchorId="5C222B8F" wp14:editId="555DC9F2">
            <wp:simplePos x="0" y="0"/>
            <wp:positionH relativeFrom="margin">
              <wp:posOffset>-635</wp:posOffset>
            </wp:positionH>
            <wp:positionV relativeFrom="paragraph">
              <wp:posOffset>0</wp:posOffset>
            </wp:positionV>
            <wp:extent cx="6468745" cy="4000500"/>
            <wp:effectExtent l="0" t="0" r="8255" b="0"/>
            <wp:wrapTopAndBottom/>
            <wp:docPr id="15654346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83" b="6437"/>
                    <a:stretch/>
                  </pic:blipFill>
                  <pic:spPr bwMode="auto">
                    <a:xfrm>
                      <a:off x="0" y="0"/>
                      <a:ext cx="6468745" cy="4000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Y="1"/>
        <w:tblOverlap w:val="never"/>
        <w:tblW w:w="10201" w:type="dxa"/>
        <w:tblBorders>
          <w:top w:val="single" w:sz="4" w:space="0" w:color="16AAC6"/>
          <w:left w:val="single" w:sz="4" w:space="0" w:color="16AAC6"/>
          <w:bottom w:val="single" w:sz="4" w:space="0" w:color="16AAC6"/>
          <w:right w:val="single" w:sz="4" w:space="0" w:color="16AAC6"/>
          <w:insideH w:val="single" w:sz="4" w:space="0" w:color="16AAC6"/>
          <w:insideV w:val="single" w:sz="4" w:space="0" w:color="16AAC6"/>
        </w:tblBorders>
        <w:tblLook w:val="04A0" w:firstRow="1" w:lastRow="0" w:firstColumn="1" w:lastColumn="0" w:noHBand="0" w:noVBand="1"/>
      </w:tblPr>
      <w:tblGrid>
        <w:gridCol w:w="461"/>
        <w:gridCol w:w="9740"/>
      </w:tblGrid>
      <w:tr w:rsidR="00BF54E8" w14:paraId="1A94F613" w14:textId="77777777" w:rsidTr="00B048E4">
        <w:trPr>
          <w:trHeight w:val="2397"/>
        </w:trPr>
        <w:tc>
          <w:tcPr>
            <w:tcW w:w="461" w:type="dxa"/>
            <w:tcBorders>
              <w:top w:val="nil"/>
              <w:bottom w:val="single" w:sz="4" w:space="0" w:color="FFFFFF" w:themeColor="background1"/>
            </w:tcBorders>
            <w:shd w:val="clear" w:color="auto" w:fill="16AAC6"/>
          </w:tcPr>
          <w:p w14:paraId="3D5ABB68" w14:textId="7228BC92" w:rsidR="00BF54E8" w:rsidRPr="00327F7F" w:rsidRDefault="00BF54E8" w:rsidP="007C744D">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7</w:t>
            </w:r>
          </w:p>
        </w:tc>
        <w:tc>
          <w:tcPr>
            <w:tcW w:w="9740" w:type="dxa"/>
            <w:shd w:val="clear" w:color="auto" w:fill="CEF3FA"/>
          </w:tcPr>
          <w:p w14:paraId="5CD45AF3" w14:textId="2B8D0473" w:rsidR="00BF54E8" w:rsidRDefault="00BF54E8" w:rsidP="007C744D">
            <w:pPr>
              <w:pStyle w:val="BulletNumbered"/>
              <w:ind w:left="0" w:firstLine="0"/>
              <w:rPr>
                <w:b/>
                <w:bCs/>
              </w:rPr>
            </w:pPr>
            <w:r w:rsidRPr="00A71A34">
              <w:rPr>
                <w:b/>
                <w:bCs/>
              </w:rPr>
              <w:t xml:space="preserve">In developing strategic housing policy, the Department should advise the Minister on the best mix of housing types that should comprise the 10,000 </w:t>
            </w:r>
            <w:proofErr w:type="gramStart"/>
            <w:r w:rsidRPr="00A71A34">
              <w:rPr>
                <w:b/>
                <w:bCs/>
              </w:rPr>
              <w:t>target</w:t>
            </w:r>
            <w:proofErr w:type="gramEnd"/>
            <w:r w:rsidRPr="00A71A34">
              <w:rPr>
                <w:b/>
                <w:bCs/>
              </w:rPr>
              <w:t>, including the mix of infield or greenfield development, and the Minister, the Department and Homes Tasmania should clearly indicate the government’s housing preferences to the sectors engaged in housing development.</w:t>
            </w:r>
          </w:p>
          <w:p w14:paraId="59B1F1C5" w14:textId="77777777" w:rsidR="00BF54E8" w:rsidRDefault="00BF54E8" w:rsidP="007C744D">
            <w:pPr>
              <w:pStyle w:val="BulletNumbered"/>
              <w:ind w:left="0" w:firstLine="0"/>
              <w:rPr>
                <w:rStyle w:val="Instructions"/>
                <w:color w:val="000000" w:themeColor="text1"/>
                <w:szCs w:val="22"/>
                <w:u w:val="none"/>
              </w:rPr>
            </w:pPr>
            <w:r>
              <w:t xml:space="preserve">This will be examined as part of the Financial Review which will also address recommendations one and two. </w:t>
            </w:r>
          </w:p>
        </w:tc>
      </w:tr>
      <w:tr w:rsidR="00BF54E8" w14:paraId="7BEF7253" w14:textId="77777777" w:rsidTr="00B048E4">
        <w:trPr>
          <w:trHeight w:val="3822"/>
        </w:trPr>
        <w:tc>
          <w:tcPr>
            <w:tcW w:w="461" w:type="dxa"/>
            <w:tcBorders>
              <w:top w:val="single" w:sz="4" w:space="0" w:color="FFFFFF" w:themeColor="background1"/>
            </w:tcBorders>
            <w:shd w:val="clear" w:color="auto" w:fill="16AAC6"/>
          </w:tcPr>
          <w:p w14:paraId="5FB0F2C5" w14:textId="77777777" w:rsidR="00BF54E8" w:rsidRPr="00327F7F" w:rsidRDefault="00BF54E8" w:rsidP="007C744D">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8</w:t>
            </w:r>
          </w:p>
        </w:tc>
        <w:tc>
          <w:tcPr>
            <w:tcW w:w="9740" w:type="dxa"/>
            <w:shd w:val="clear" w:color="auto" w:fill="CEF3FA"/>
          </w:tcPr>
          <w:p w14:paraId="225E4E6E" w14:textId="7B46741B" w:rsidR="00BF54E8" w:rsidRDefault="00BF54E8" w:rsidP="007C744D">
            <w:pPr>
              <w:pStyle w:val="BulletNumbered"/>
              <w:ind w:left="0" w:firstLine="0"/>
              <w:rPr>
                <w:b/>
                <w:bCs/>
              </w:rPr>
            </w:pPr>
            <w:r w:rsidRPr="00A71A34">
              <w:rPr>
                <w:b/>
                <w:bCs/>
              </w:rPr>
              <w:t>Be explicit when reporting additions to housing supply compared with the purchase or rental of existing properties (noting the current Dashboard does show new build compared with existing homes under the “My Home” shared equity program).</w:t>
            </w:r>
          </w:p>
          <w:p w14:paraId="16F383CB" w14:textId="77777777" w:rsidR="00BF54E8" w:rsidRPr="002826AF" w:rsidRDefault="00BF54E8" w:rsidP="007C744D">
            <w:pPr>
              <w:pStyle w:val="BulletNumbered"/>
              <w:ind w:left="0" w:firstLine="0"/>
            </w:pPr>
            <w:r w:rsidRPr="002826AF">
              <w:t xml:space="preserve">A new, user-friendly Housing Dashboard was released in September 2024 to further transparency in the delivery of social and affordable housing across the state.   </w:t>
            </w:r>
          </w:p>
          <w:p w14:paraId="1713AE35" w14:textId="77777777" w:rsidR="00BF54E8" w:rsidRDefault="00BF54E8" w:rsidP="007C744D">
            <w:pPr>
              <w:pStyle w:val="BulletNumbered"/>
              <w:ind w:left="0" w:firstLine="0"/>
            </w:pPr>
            <w:r w:rsidRPr="002826AF">
              <w:t>This new Dashboard features a new format with additional information, including detailed reporting on completed homes, land packages, funding models and the status of pipeline projects.</w:t>
            </w:r>
          </w:p>
          <w:p w14:paraId="690EE837" w14:textId="77777777" w:rsidR="00BF54E8" w:rsidRDefault="00BF54E8" w:rsidP="007C744D">
            <w:pPr>
              <w:pStyle w:val="BulletNumbered"/>
              <w:ind w:left="0" w:firstLine="0"/>
              <w:rPr>
                <w:rStyle w:val="Instructions"/>
                <w:color w:val="000000" w:themeColor="text1"/>
                <w:szCs w:val="22"/>
                <w:u w:val="none"/>
              </w:rPr>
            </w:pPr>
            <w:r>
              <w:t>The Department of State Growth will work with Homes Tasmania to progress any required changes to the Homes Tasmania Dashboard, including reviewing whether the management of the dashboard reporting should move to the Department of State Growth.</w:t>
            </w:r>
          </w:p>
        </w:tc>
      </w:tr>
    </w:tbl>
    <w:p w14:paraId="29489026" w14:textId="77777777" w:rsidR="0096257C" w:rsidRDefault="0096257C">
      <w:r>
        <w:br w:type="page"/>
      </w:r>
    </w:p>
    <w:tbl>
      <w:tblPr>
        <w:tblStyle w:val="TableGrid"/>
        <w:tblpPr w:leftFromText="180" w:rightFromText="180" w:vertAnchor="text" w:tblpY="1"/>
        <w:tblOverlap w:val="never"/>
        <w:tblW w:w="10201" w:type="dxa"/>
        <w:tblBorders>
          <w:top w:val="single" w:sz="4" w:space="0" w:color="16AAC6"/>
          <w:left w:val="single" w:sz="4" w:space="0" w:color="16AAC6"/>
          <w:bottom w:val="single" w:sz="4" w:space="0" w:color="16AAC6"/>
          <w:right w:val="single" w:sz="4" w:space="0" w:color="16AAC6"/>
          <w:insideH w:val="single" w:sz="4" w:space="0" w:color="16AAC6"/>
          <w:insideV w:val="single" w:sz="4" w:space="0" w:color="16AAC6"/>
        </w:tblBorders>
        <w:tblLook w:val="04A0" w:firstRow="1" w:lastRow="0" w:firstColumn="1" w:lastColumn="0" w:noHBand="0" w:noVBand="1"/>
      </w:tblPr>
      <w:tblGrid>
        <w:gridCol w:w="461"/>
        <w:gridCol w:w="9740"/>
      </w:tblGrid>
      <w:tr w:rsidR="00327F7F" w14:paraId="2F33007D" w14:textId="77777777" w:rsidTr="00B048E4">
        <w:trPr>
          <w:trHeight w:val="2680"/>
        </w:trPr>
        <w:tc>
          <w:tcPr>
            <w:tcW w:w="461" w:type="dxa"/>
            <w:tcBorders>
              <w:bottom w:val="single" w:sz="4" w:space="0" w:color="FFFFFF" w:themeColor="background1"/>
            </w:tcBorders>
            <w:shd w:val="clear" w:color="auto" w:fill="16AAC6"/>
          </w:tcPr>
          <w:p w14:paraId="07934725" w14:textId="4A794493" w:rsidR="00327F7F" w:rsidRPr="00327F7F" w:rsidRDefault="00327F7F" w:rsidP="00327F7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lastRenderedPageBreak/>
              <w:t>9</w:t>
            </w:r>
          </w:p>
        </w:tc>
        <w:tc>
          <w:tcPr>
            <w:tcW w:w="9740" w:type="dxa"/>
            <w:shd w:val="clear" w:color="auto" w:fill="CEF3FA"/>
          </w:tcPr>
          <w:p w14:paraId="1EE7464A" w14:textId="77777777" w:rsidR="00327F7F" w:rsidRDefault="00327F7F" w:rsidP="00327F7F">
            <w:pPr>
              <w:pStyle w:val="BulletNumbered"/>
              <w:ind w:left="0" w:firstLine="0"/>
              <w:rPr>
                <w:b/>
                <w:bCs/>
              </w:rPr>
            </w:pPr>
            <w:r w:rsidRPr="00A71A34">
              <w:rPr>
                <w:b/>
                <w:bCs/>
              </w:rPr>
              <w:t>Consider adding more metrics in Homes Tasmania Dashboard showing the population cohorts seeking and receiving assistance.</w:t>
            </w:r>
          </w:p>
          <w:p w14:paraId="29805A3A" w14:textId="77777777" w:rsidR="00327F7F" w:rsidRPr="00A71A34" w:rsidRDefault="00327F7F" w:rsidP="00327F7F">
            <w:pPr>
              <w:pStyle w:val="BulletNumbered"/>
              <w:ind w:left="0" w:firstLine="0"/>
            </w:pPr>
            <w:r w:rsidRPr="002826AF">
              <w:t>Additional metrics were added relating to applicant profile in the changes made to the Housing Dashboard in 2024.</w:t>
            </w:r>
          </w:p>
          <w:p w14:paraId="4AE78701" w14:textId="3C1238A4" w:rsidR="00327F7F" w:rsidRPr="00543E45" w:rsidRDefault="00327F7F" w:rsidP="00327F7F">
            <w:pPr>
              <w:pStyle w:val="BulletNumbered"/>
              <w:ind w:left="0" w:firstLine="0"/>
            </w:pPr>
            <w:r>
              <w:t>The Department of State Growth will work with Homes Tasmania to review the reporting metrics in the Homes Tasmania Dashboard, as part of the Outcomes Reporting Framework which is being developed as a priority under the Housing Action Plan.</w:t>
            </w:r>
          </w:p>
        </w:tc>
      </w:tr>
      <w:tr w:rsidR="00327F7F" w14:paraId="5F2A1262" w14:textId="77777777" w:rsidTr="00B048E4">
        <w:trPr>
          <w:trHeight w:val="1367"/>
        </w:trPr>
        <w:tc>
          <w:tcPr>
            <w:tcW w:w="461" w:type="dxa"/>
            <w:tcBorders>
              <w:top w:val="single" w:sz="4" w:space="0" w:color="FFFFFF" w:themeColor="background1"/>
              <w:bottom w:val="single" w:sz="4" w:space="0" w:color="FFFFFF" w:themeColor="background1"/>
            </w:tcBorders>
            <w:shd w:val="clear" w:color="auto" w:fill="16AAC6"/>
          </w:tcPr>
          <w:p w14:paraId="52A68E0E" w14:textId="2213AFB1" w:rsidR="00327F7F" w:rsidRPr="00327F7F" w:rsidRDefault="00327F7F" w:rsidP="00327F7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1</w:t>
            </w:r>
            <w:r w:rsidRPr="00327F7F">
              <w:rPr>
                <w:rStyle w:val="Instructions"/>
                <w:color w:val="FFFFFF" w:themeColor="background1"/>
              </w:rPr>
              <w:t>0</w:t>
            </w:r>
          </w:p>
        </w:tc>
        <w:tc>
          <w:tcPr>
            <w:tcW w:w="9740" w:type="dxa"/>
            <w:shd w:val="clear" w:color="auto" w:fill="CEF3FA"/>
          </w:tcPr>
          <w:p w14:paraId="6847D10C" w14:textId="77777777" w:rsidR="00327F7F" w:rsidRPr="00205424" w:rsidRDefault="00327F7F" w:rsidP="00327F7F">
            <w:pPr>
              <w:pStyle w:val="BulletNumbered"/>
              <w:ind w:left="0" w:firstLine="0"/>
              <w:rPr>
                <w:b/>
                <w:bCs/>
                <w:color w:val="auto"/>
              </w:rPr>
            </w:pPr>
            <w:r w:rsidRPr="00205424">
              <w:rPr>
                <w:b/>
                <w:bCs/>
                <w:color w:val="auto"/>
              </w:rPr>
              <w:t>Deliver the asset management plan to redevelop and reprofile aging assets in the Homes Tasmania portfolio, flagged in the Action Plan to be completed by 30 June 2025.</w:t>
            </w:r>
          </w:p>
          <w:p w14:paraId="7728469E" w14:textId="262B9898" w:rsidR="00327F7F" w:rsidRPr="00205424" w:rsidRDefault="00327F7F" w:rsidP="00327F7F">
            <w:pPr>
              <w:pStyle w:val="BulletNumbered"/>
              <w:ind w:left="0" w:firstLine="0"/>
            </w:pPr>
            <w:r w:rsidRPr="00205424">
              <w:rPr>
                <w:color w:val="auto"/>
              </w:rPr>
              <w:t>Homes Tasmania is progressing work on this as a priority of the Action Plan.</w:t>
            </w:r>
          </w:p>
        </w:tc>
      </w:tr>
      <w:tr w:rsidR="00327F7F" w14:paraId="43CE12C8" w14:textId="77777777" w:rsidTr="00B048E4">
        <w:trPr>
          <w:trHeight w:val="1573"/>
        </w:trPr>
        <w:tc>
          <w:tcPr>
            <w:tcW w:w="461" w:type="dxa"/>
            <w:tcBorders>
              <w:top w:val="single" w:sz="4" w:space="0" w:color="FFFFFF" w:themeColor="background1"/>
              <w:bottom w:val="single" w:sz="4" w:space="0" w:color="FFFFFF" w:themeColor="background1"/>
            </w:tcBorders>
            <w:shd w:val="clear" w:color="auto" w:fill="16AAC6"/>
          </w:tcPr>
          <w:p w14:paraId="6C102486" w14:textId="7189D3E3" w:rsidR="00327F7F" w:rsidRPr="00327F7F" w:rsidRDefault="00327F7F" w:rsidP="00327F7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1</w:t>
            </w:r>
            <w:r w:rsidRPr="00327F7F">
              <w:rPr>
                <w:rStyle w:val="Instructions"/>
                <w:color w:val="FFFFFF" w:themeColor="background1"/>
              </w:rPr>
              <w:t>1</w:t>
            </w:r>
          </w:p>
        </w:tc>
        <w:tc>
          <w:tcPr>
            <w:tcW w:w="9740" w:type="dxa"/>
            <w:shd w:val="clear" w:color="auto" w:fill="CEF3FA"/>
          </w:tcPr>
          <w:p w14:paraId="4F928F0B" w14:textId="77777777" w:rsidR="00327F7F" w:rsidRPr="00205424" w:rsidRDefault="00327F7F" w:rsidP="00327F7F">
            <w:pPr>
              <w:pStyle w:val="BulletNumbered"/>
              <w:ind w:left="0" w:firstLine="0"/>
              <w:rPr>
                <w:b/>
                <w:bCs/>
                <w:color w:val="auto"/>
              </w:rPr>
            </w:pPr>
            <w:r w:rsidRPr="00205424">
              <w:rPr>
                <w:b/>
                <w:bCs/>
                <w:color w:val="auto"/>
              </w:rPr>
              <w:t>Prioritise investment in tools and technology to support better reporting on asset projections and project management.</w:t>
            </w:r>
          </w:p>
          <w:p w14:paraId="79D38CD0" w14:textId="0990C3C3" w:rsidR="00327F7F" w:rsidRPr="00205424" w:rsidRDefault="00327F7F" w:rsidP="00327F7F">
            <w:pPr>
              <w:pStyle w:val="BulletNumbered"/>
              <w:ind w:left="0" w:firstLine="0"/>
            </w:pPr>
            <w:r>
              <w:t xml:space="preserve">This will be a matter for Homes Tasmania’s Board to progress with their executive, noting that </w:t>
            </w:r>
            <w:r w:rsidR="0096257C">
              <w:br/>
            </w:r>
            <w:r>
              <w:t>a new Chief Financial Officer has commenced employment at Homes Tasmania.</w:t>
            </w:r>
            <w:r w:rsidDel="0089793B">
              <w:t xml:space="preserve"> </w:t>
            </w:r>
          </w:p>
        </w:tc>
      </w:tr>
      <w:tr w:rsidR="00327F7F" w14:paraId="092FDB4E" w14:textId="77777777" w:rsidTr="00B048E4">
        <w:trPr>
          <w:trHeight w:val="1137"/>
        </w:trPr>
        <w:tc>
          <w:tcPr>
            <w:tcW w:w="461" w:type="dxa"/>
            <w:tcBorders>
              <w:top w:val="single" w:sz="4" w:space="0" w:color="FFFFFF" w:themeColor="background1"/>
              <w:bottom w:val="single" w:sz="4" w:space="0" w:color="FFFFFF" w:themeColor="background1"/>
            </w:tcBorders>
            <w:shd w:val="clear" w:color="auto" w:fill="16AAC6"/>
          </w:tcPr>
          <w:p w14:paraId="705C2167" w14:textId="774072C5" w:rsidR="00327F7F" w:rsidRPr="00327F7F" w:rsidRDefault="00327F7F" w:rsidP="00327F7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1</w:t>
            </w:r>
            <w:r w:rsidRPr="00327F7F">
              <w:rPr>
                <w:rStyle w:val="Instructions"/>
                <w:color w:val="FFFFFF" w:themeColor="background1"/>
              </w:rPr>
              <w:t>2</w:t>
            </w:r>
          </w:p>
        </w:tc>
        <w:tc>
          <w:tcPr>
            <w:tcW w:w="9740" w:type="dxa"/>
            <w:shd w:val="clear" w:color="auto" w:fill="CEF3FA"/>
          </w:tcPr>
          <w:p w14:paraId="7E7FEA5F" w14:textId="77777777" w:rsidR="00327F7F" w:rsidRDefault="00327F7F" w:rsidP="00327F7F">
            <w:pPr>
              <w:pStyle w:val="BulletNumbered"/>
              <w:ind w:left="0" w:firstLine="0"/>
              <w:rPr>
                <w:b/>
                <w:bCs/>
              </w:rPr>
            </w:pPr>
            <w:r w:rsidRPr="00A71A34">
              <w:rPr>
                <w:b/>
                <w:bCs/>
              </w:rPr>
              <w:t>Assess the risks associated with funded staff to client ratios.</w:t>
            </w:r>
          </w:p>
          <w:p w14:paraId="197A7038" w14:textId="58B572E7" w:rsidR="00327F7F" w:rsidRPr="00543E45" w:rsidRDefault="00327F7F" w:rsidP="00327F7F">
            <w:pPr>
              <w:pStyle w:val="BulletNumbered"/>
              <w:ind w:left="0" w:firstLine="0"/>
            </w:pPr>
            <w:r>
              <w:t xml:space="preserve">This will be reviewed as a medium-term priority (in 2026). </w:t>
            </w:r>
          </w:p>
        </w:tc>
      </w:tr>
      <w:tr w:rsidR="00327F7F" w14:paraId="1FEE3519" w14:textId="77777777" w:rsidTr="00B048E4">
        <w:trPr>
          <w:trHeight w:val="1619"/>
        </w:trPr>
        <w:tc>
          <w:tcPr>
            <w:tcW w:w="461" w:type="dxa"/>
            <w:tcBorders>
              <w:top w:val="single" w:sz="4" w:space="0" w:color="FFFFFF" w:themeColor="background1"/>
              <w:bottom w:val="single" w:sz="4" w:space="0" w:color="FFFFFF" w:themeColor="background1"/>
            </w:tcBorders>
            <w:shd w:val="clear" w:color="auto" w:fill="16AAC6"/>
          </w:tcPr>
          <w:p w14:paraId="3BCFA76C" w14:textId="557C575E" w:rsidR="00327F7F" w:rsidRPr="00327F7F" w:rsidRDefault="00327F7F" w:rsidP="00327F7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1</w:t>
            </w:r>
            <w:r w:rsidRPr="00327F7F">
              <w:rPr>
                <w:rStyle w:val="Instructions"/>
                <w:color w:val="FFFFFF" w:themeColor="background1"/>
              </w:rPr>
              <w:t>3</w:t>
            </w:r>
          </w:p>
        </w:tc>
        <w:tc>
          <w:tcPr>
            <w:tcW w:w="9740" w:type="dxa"/>
            <w:shd w:val="clear" w:color="auto" w:fill="CEF3FA"/>
          </w:tcPr>
          <w:p w14:paraId="5CA8E339" w14:textId="77777777" w:rsidR="0096257C" w:rsidRDefault="0096257C" w:rsidP="0096257C">
            <w:pPr>
              <w:pStyle w:val="BulletNumbered"/>
              <w:ind w:left="0" w:firstLine="0"/>
              <w:rPr>
                <w:b/>
                <w:bCs/>
              </w:rPr>
            </w:pPr>
            <w:r w:rsidRPr="00A71A34">
              <w:rPr>
                <w:b/>
                <w:bCs/>
              </w:rPr>
              <w:t>Ensure the Homes Tasmania board is comprehensively briefed on the risks associated with the findings of the Commission of Inquiry into Children in Institutional Care.</w:t>
            </w:r>
          </w:p>
          <w:p w14:paraId="2856AB16" w14:textId="5621E1C4" w:rsidR="00327F7F" w:rsidRPr="00543E45" w:rsidRDefault="0096257C" w:rsidP="0096257C">
            <w:pPr>
              <w:pStyle w:val="BulletNumbered"/>
              <w:ind w:left="0" w:firstLine="0"/>
              <w:rPr>
                <w:i/>
                <w:iCs/>
              </w:rPr>
            </w:pPr>
            <w:r>
              <w:t>The Department of Premier and Cabinet has briefed the Homes Tasmania Board on the risks associated with the Commission of Inquiry.</w:t>
            </w:r>
          </w:p>
        </w:tc>
      </w:tr>
      <w:tr w:rsidR="00327F7F" w14:paraId="616137D7" w14:textId="77777777" w:rsidTr="00B048E4">
        <w:trPr>
          <w:trHeight w:val="1968"/>
        </w:trPr>
        <w:tc>
          <w:tcPr>
            <w:tcW w:w="461" w:type="dxa"/>
            <w:tcBorders>
              <w:top w:val="single" w:sz="4" w:space="0" w:color="FFFFFF" w:themeColor="background1"/>
              <w:bottom w:val="single" w:sz="4" w:space="0" w:color="FFFFFF" w:themeColor="background1"/>
            </w:tcBorders>
            <w:shd w:val="clear" w:color="auto" w:fill="16AAC6"/>
          </w:tcPr>
          <w:p w14:paraId="1E90312F" w14:textId="17F1F0B2" w:rsidR="00327F7F" w:rsidRPr="00327F7F" w:rsidRDefault="00327F7F" w:rsidP="00327F7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1</w:t>
            </w:r>
            <w:r w:rsidRPr="00327F7F">
              <w:rPr>
                <w:rStyle w:val="Instructions"/>
                <w:color w:val="FFFFFF" w:themeColor="background1"/>
              </w:rPr>
              <w:t>4</w:t>
            </w:r>
          </w:p>
        </w:tc>
        <w:tc>
          <w:tcPr>
            <w:tcW w:w="9740" w:type="dxa"/>
            <w:shd w:val="clear" w:color="auto" w:fill="CEF3FA"/>
          </w:tcPr>
          <w:p w14:paraId="37AB91A4" w14:textId="68D6E22C" w:rsidR="00327F7F" w:rsidRDefault="00327F7F" w:rsidP="00327F7F">
            <w:pPr>
              <w:pStyle w:val="BulletNumbered"/>
              <w:ind w:left="0" w:firstLine="0"/>
              <w:rPr>
                <w:b/>
                <w:bCs/>
              </w:rPr>
            </w:pPr>
            <w:r w:rsidRPr="00A71A34">
              <w:rPr>
                <w:b/>
                <w:bCs/>
              </w:rPr>
              <w:t>Be clear about who is responsible for meeting accommodation standards for properties housing clients with a disability and older adults requiring property modifications to age in place.</w:t>
            </w:r>
          </w:p>
          <w:p w14:paraId="1CBB881B" w14:textId="4BFF042A" w:rsidR="00327F7F" w:rsidRPr="00543E45" w:rsidRDefault="00327F7F" w:rsidP="00327F7F">
            <w:pPr>
              <w:pStyle w:val="BulletNumbered"/>
              <w:ind w:left="0" w:firstLine="0"/>
            </w:pPr>
            <w:r>
              <w:t xml:space="preserve">A review of current approaches will be progressed by Homes Tasmania and the Department of State Growth to provide further advice on this matter. </w:t>
            </w:r>
          </w:p>
        </w:tc>
      </w:tr>
      <w:tr w:rsidR="00327F7F" w14:paraId="1A0F91C9" w14:textId="77777777" w:rsidTr="00B048E4">
        <w:trPr>
          <w:trHeight w:val="1289"/>
        </w:trPr>
        <w:tc>
          <w:tcPr>
            <w:tcW w:w="461" w:type="dxa"/>
            <w:tcBorders>
              <w:top w:val="single" w:sz="4" w:space="0" w:color="FFFFFF" w:themeColor="background1"/>
              <w:bottom w:val="single" w:sz="4" w:space="0" w:color="FFFFFF" w:themeColor="background1"/>
            </w:tcBorders>
            <w:shd w:val="clear" w:color="auto" w:fill="16AAC6"/>
          </w:tcPr>
          <w:p w14:paraId="49D044D6" w14:textId="114F92F5" w:rsidR="00327F7F" w:rsidRPr="00327F7F" w:rsidRDefault="00327F7F" w:rsidP="00327F7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1</w:t>
            </w:r>
            <w:r w:rsidRPr="00327F7F">
              <w:rPr>
                <w:rStyle w:val="Instructions"/>
                <w:color w:val="FFFFFF" w:themeColor="background1"/>
              </w:rPr>
              <w:t>5</w:t>
            </w:r>
          </w:p>
        </w:tc>
        <w:tc>
          <w:tcPr>
            <w:tcW w:w="9740" w:type="dxa"/>
            <w:shd w:val="clear" w:color="auto" w:fill="CEF3FA"/>
          </w:tcPr>
          <w:p w14:paraId="34C5705C" w14:textId="3A35F6EE" w:rsidR="00327F7F" w:rsidRDefault="00327F7F" w:rsidP="00327F7F">
            <w:pPr>
              <w:pStyle w:val="BulletNumbered"/>
              <w:ind w:left="0" w:firstLine="0"/>
              <w:rPr>
                <w:b/>
                <w:bCs/>
              </w:rPr>
            </w:pPr>
            <w:r w:rsidRPr="00A71A34">
              <w:rPr>
                <w:b/>
                <w:bCs/>
              </w:rPr>
              <w:t xml:space="preserve">Pursue the slated review of the </w:t>
            </w:r>
            <w:r w:rsidRPr="00A71A34">
              <w:rPr>
                <w:b/>
                <w:bCs/>
                <w:i/>
                <w:iCs/>
              </w:rPr>
              <w:t>Residential Tenancy Act 1997</w:t>
            </w:r>
            <w:r w:rsidRPr="00A71A34">
              <w:rPr>
                <w:b/>
                <w:bCs/>
              </w:rPr>
              <w:t>.</w:t>
            </w:r>
          </w:p>
          <w:p w14:paraId="55EDACEB" w14:textId="4A325FC4" w:rsidR="00327F7F" w:rsidRPr="00543E45" w:rsidRDefault="00327F7F" w:rsidP="00327F7F">
            <w:pPr>
              <w:pStyle w:val="BulletNumbered"/>
              <w:ind w:left="0" w:firstLine="0"/>
              <w:rPr>
                <w:w w:val="105"/>
              </w:rPr>
            </w:pPr>
            <w:r>
              <w:t xml:space="preserve">The Government has committed to a review of the </w:t>
            </w:r>
            <w:r>
              <w:rPr>
                <w:i/>
                <w:iCs/>
              </w:rPr>
              <w:t xml:space="preserve">Residential Tenancy Act 1997 </w:t>
            </w:r>
            <w:r w:rsidRPr="000B3602">
              <w:t>by</w:t>
            </w:r>
            <w:r>
              <w:t xml:space="preserve"> </w:t>
            </w:r>
            <w:r w:rsidR="0096257C">
              <w:br/>
            </w:r>
            <w:r>
              <w:t xml:space="preserve">30 June 2027 under the Action Plan. </w:t>
            </w:r>
            <w:r>
              <w:rPr>
                <w:i/>
                <w:iCs/>
              </w:rPr>
              <w:t xml:space="preserve"> </w:t>
            </w:r>
          </w:p>
        </w:tc>
      </w:tr>
      <w:tr w:rsidR="00327F7F" w14:paraId="1D9313C9" w14:textId="77777777" w:rsidTr="00B048E4">
        <w:trPr>
          <w:trHeight w:val="1348"/>
        </w:trPr>
        <w:tc>
          <w:tcPr>
            <w:tcW w:w="461" w:type="dxa"/>
            <w:tcBorders>
              <w:top w:val="single" w:sz="4" w:space="0" w:color="FFFFFF" w:themeColor="background1"/>
            </w:tcBorders>
            <w:shd w:val="clear" w:color="auto" w:fill="16AAC6"/>
          </w:tcPr>
          <w:p w14:paraId="35B2E74B" w14:textId="2CF85087" w:rsidR="00327F7F" w:rsidRPr="00327F7F" w:rsidRDefault="00327F7F" w:rsidP="00327F7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1</w:t>
            </w:r>
            <w:r w:rsidRPr="00327F7F">
              <w:rPr>
                <w:rStyle w:val="Instructions"/>
                <w:color w:val="FFFFFF" w:themeColor="background1"/>
              </w:rPr>
              <w:t>6</w:t>
            </w:r>
          </w:p>
        </w:tc>
        <w:tc>
          <w:tcPr>
            <w:tcW w:w="9740" w:type="dxa"/>
            <w:shd w:val="clear" w:color="auto" w:fill="CEF3FA"/>
          </w:tcPr>
          <w:p w14:paraId="4D361FF0" w14:textId="77777777" w:rsidR="00327F7F" w:rsidRPr="00FC1BAB" w:rsidRDefault="00327F7F" w:rsidP="00327F7F">
            <w:pPr>
              <w:pStyle w:val="BulletNumbered"/>
              <w:ind w:left="0" w:firstLine="0"/>
              <w:rPr>
                <w:b/>
                <w:bCs/>
              </w:rPr>
            </w:pPr>
            <w:r w:rsidRPr="00A71A34">
              <w:rPr>
                <w:b/>
                <w:bCs/>
              </w:rPr>
              <w:t>Finalise</w:t>
            </w:r>
            <w:r w:rsidRPr="00A71A34">
              <w:rPr>
                <w:b/>
                <w:bCs/>
                <w:spacing w:val="29"/>
              </w:rPr>
              <w:t xml:space="preserve"> </w:t>
            </w:r>
            <w:r w:rsidRPr="00A71A34">
              <w:rPr>
                <w:b/>
                <w:bCs/>
              </w:rPr>
              <w:t>the</w:t>
            </w:r>
            <w:r w:rsidRPr="00A71A34">
              <w:rPr>
                <w:b/>
                <w:bCs/>
                <w:spacing w:val="29"/>
              </w:rPr>
              <w:t xml:space="preserve"> </w:t>
            </w:r>
            <w:r w:rsidRPr="00A71A34">
              <w:rPr>
                <w:b/>
                <w:bCs/>
              </w:rPr>
              <w:t>builder</w:t>
            </w:r>
            <w:r w:rsidRPr="00A71A34">
              <w:rPr>
                <w:b/>
                <w:bCs/>
                <w:spacing w:val="29"/>
              </w:rPr>
              <w:t xml:space="preserve"> </w:t>
            </w:r>
            <w:r w:rsidRPr="00A71A34">
              <w:rPr>
                <w:b/>
                <w:bCs/>
              </w:rPr>
              <w:t>panels</w:t>
            </w:r>
            <w:r w:rsidRPr="00A71A34">
              <w:rPr>
                <w:b/>
                <w:bCs/>
                <w:spacing w:val="33"/>
              </w:rPr>
              <w:t xml:space="preserve"> </w:t>
            </w:r>
            <w:r w:rsidRPr="00A71A34">
              <w:rPr>
                <w:b/>
                <w:bCs/>
              </w:rPr>
              <w:t>as</w:t>
            </w:r>
            <w:r w:rsidRPr="00A71A34">
              <w:rPr>
                <w:b/>
                <w:bCs/>
                <w:spacing w:val="33"/>
              </w:rPr>
              <w:t xml:space="preserve"> </w:t>
            </w:r>
            <w:r w:rsidRPr="00A71A34">
              <w:rPr>
                <w:b/>
                <w:bCs/>
              </w:rPr>
              <w:t>soon</w:t>
            </w:r>
            <w:r w:rsidRPr="00A71A34">
              <w:rPr>
                <w:b/>
                <w:bCs/>
                <w:spacing w:val="33"/>
              </w:rPr>
              <w:t xml:space="preserve"> </w:t>
            </w:r>
            <w:r w:rsidRPr="00A71A34">
              <w:rPr>
                <w:b/>
                <w:bCs/>
              </w:rPr>
              <w:t>as</w:t>
            </w:r>
            <w:r w:rsidRPr="00A71A34">
              <w:rPr>
                <w:b/>
                <w:bCs/>
                <w:spacing w:val="31"/>
              </w:rPr>
              <w:t xml:space="preserve"> </w:t>
            </w:r>
            <w:r w:rsidRPr="00A71A34">
              <w:rPr>
                <w:b/>
                <w:bCs/>
                <w:spacing w:val="-2"/>
              </w:rPr>
              <w:t xml:space="preserve">possible. </w:t>
            </w:r>
          </w:p>
          <w:p w14:paraId="2B600456" w14:textId="1E964A5F" w:rsidR="00327F7F" w:rsidRPr="00A71A34" w:rsidRDefault="00327F7F" w:rsidP="00327F7F">
            <w:pPr>
              <w:pStyle w:val="BulletNumbered"/>
              <w:ind w:left="0" w:firstLine="0"/>
              <w:rPr>
                <w:b/>
                <w:bCs/>
                <w:w w:val="105"/>
              </w:rPr>
            </w:pPr>
            <w:r w:rsidRPr="00E13B60">
              <w:rPr>
                <w:spacing w:val="-2"/>
              </w:rPr>
              <w:t>Homes Tasmania has progressed work to establish the builder panels. The Department of State Growth will work with Homes Tasmania to finalise the panels</w:t>
            </w:r>
            <w:r>
              <w:rPr>
                <w:spacing w:val="-2"/>
              </w:rPr>
              <w:t xml:space="preserve"> by the end of </w:t>
            </w:r>
            <w:r w:rsidRPr="002826AF">
              <w:rPr>
                <w:spacing w:val="-2"/>
              </w:rPr>
              <w:t>June</w:t>
            </w:r>
            <w:r>
              <w:rPr>
                <w:spacing w:val="-2"/>
              </w:rPr>
              <w:t xml:space="preserve"> 2025.</w:t>
            </w:r>
          </w:p>
        </w:tc>
      </w:tr>
    </w:tbl>
    <w:p w14:paraId="21F1DA51" w14:textId="76E734D2" w:rsidR="005C3B54" w:rsidRDefault="005C3B54"/>
    <w:p w14:paraId="2166200C" w14:textId="33E25C1C" w:rsidR="00645779" w:rsidRDefault="00645779"/>
    <w:p w14:paraId="1A354545" w14:textId="1B19B5A5" w:rsidR="00645779" w:rsidRDefault="00645779"/>
    <w:tbl>
      <w:tblPr>
        <w:tblStyle w:val="TableGrid"/>
        <w:tblpPr w:leftFromText="180" w:rightFromText="180" w:vertAnchor="text" w:tblpY="1"/>
        <w:tblOverlap w:val="never"/>
        <w:tblW w:w="10201" w:type="dxa"/>
        <w:tblBorders>
          <w:top w:val="single" w:sz="4" w:space="0" w:color="16AAC6"/>
          <w:left w:val="single" w:sz="4" w:space="0" w:color="16AAC6"/>
          <w:bottom w:val="single" w:sz="4" w:space="0" w:color="16AAC6"/>
          <w:right w:val="single" w:sz="4" w:space="0" w:color="16AAC6"/>
          <w:insideH w:val="single" w:sz="4" w:space="0" w:color="16AAC6"/>
          <w:insideV w:val="single" w:sz="4" w:space="0" w:color="16AAC6"/>
        </w:tblBorders>
        <w:tblLook w:val="04A0" w:firstRow="1" w:lastRow="0" w:firstColumn="1" w:lastColumn="0" w:noHBand="0" w:noVBand="1"/>
      </w:tblPr>
      <w:tblGrid>
        <w:gridCol w:w="461"/>
        <w:gridCol w:w="9740"/>
      </w:tblGrid>
      <w:tr w:rsidR="00B048E4" w14:paraId="790C113F" w14:textId="77777777" w:rsidTr="00B048E4">
        <w:tc>
          <w:tcPr>
            <w:tcW w:w="461" w:type="dxa"/>
            <w:tcBorders>
              <w:top w:val="nil"/>
              <w:bottom w:val="single" w:sz="4" w:space="0" w:color="FFFFFF" w:themeColor="background1"/>
            </w:tcBorders>
            <w:shd w:val="clear" w:color="auto" w:fill="16AAC6"/>
          </w:tcPr>
          <w:p w14:paraId="6386A115" w14:textId="11E6DE11" w:rsidR="00B048E4" w:rsidRPr="00327F7F" w:rsidRDefault="00B048E4" w:rsidP="00B048E4">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1</w:t>
            </w:r>
            <w:r w:rsidRPr="00327F7F">
              <w:rPr>
                <w:rStyle w:val="Instructions"/>
                <w:color w:val="FFFFFF" w:themeColor="background1"/>
              </w:rPr>
              <w:t>7</w:t>
            </w:r>
          </w:p>
        </w:tc>
        <w:tc>
          <w:tcPr>
            <w:tcW w:w="9740" w:type="dxa"/>
            <w:shd w:val="clear" w:color="auto" w:fill="CEF3FA"/>
          </w:tcPr>
          <w:p w14:paraId="60E1FFA6" w14:textId="77777777" w:rsidR="00B048E4" w:rsidRPr="00B048E4" w:rsidRDefault="00B048E4" w:rsidP="00B048E4">
            <w:pPr>
              <w:pStyle w:val="BodyText"/>
              <w:rPr>
                <w:b/>
                <w:bCs/>
              </w:rPr>
            </w:pPr>
            <w:r w:rsidRPr="00B048E4">
              <w:rPr>
                <w:b/>
                <w:bCs/>
                <w:w w:val="105"/>
              </w:rPr>
              <w:t>Continue</w:t>
            </w:r>
            <w:r w:rsidRPr="00B048E4">
              <w:rPr>
                <w:b/>
                <w:bCs/>
                <w:spacing w:val="-6"/>
                <w:w w:val="105"/>
              </w:rPr>
              <w:t xml:space="preserve"> </w:t>
            </w:r>
            <w:r w:rsidRPr="00B048E4">
              <w:rPr>
                <w:b/>
                <w:bCs/>
                <w:w w:val="105"/>
              </w:rPr>
              <w:t>to</w:t>
            </w:r>
            <w:r w:rsidRPr="00B048E4">
              <w:rPr>
                <w:b/>
                <w:bCs/>
                <w:spacing w:val="-6"/>
                <w:w w:val="105"/>
              </w:rPr>
              <w:t xml:space="preserve"> </w:t>
            </w:r>
            <w:r w:rsidRPr="00B048E4">
              <w:rPr>
                <w:b/>
                <w:bCs/>
                <w:w w:val="105"/>
              </w:rPr>
              <w:t>regularly</w:t>
            </w:r>
            <w:r w:rsidRPr="00B048E4">
              <w:rPr>
                <w:b/>
                <w:bCs/>
                <w:spacing w:val="-6"/>
                <w:w w:val="105"/>
              </w:rPr>
              <w:t xml:space="preserve"> </w:t>
            </w:r>
            <w:r w:rsidRPr="00B048E4">
              <w:rPr>
                <w:b/>
                <w:bCs/>
                <w:w w:val="105"/>
              </w:rPr>
              <w:t>meet</w:t>
            </w:r>
            <w:r w:rsidRPr="00B048E4">
              <w:rPr>
                <w:b/>
                <w:bCs/>
                <w:spacing w:val="-4"/>
                <w:w w:val="105"/>
              </w:rPr>
              <w:t xml:space="preserve"> </w:t>
            </w:r>
            <w:r w:rsidRPr="00B048E4">
              <w:rPr>
                <w:b/>
                <w:bCs/>
                <w:w w:val="105"/>
              </w:rPr>
              <w:t>with</w:t>
            </w:r>
            <w:r w:rsidRPr="00B048E4">
              <w:rPr>
                <w:b/>
                <w:bCs/>
                <w:spacing w:val="-4"/>
                <w:w w:val="105"/>
              </w:rPr>
              <w:t xml:space="preserve"> </w:t>
            </w:r>
            <w:r w:rsidRPr="00B048E4">
              <w:rPr>
                <w:b/>
                <w:bCs/>
                <w:w w:val="105"/>
              </w:rPr>
              <w:t>sector</w:t>
            </w:r>
            <w:r w:rsidRPr="00B048E4">
              <w:rPr>
                <w:b/>
                <w:bCs/>
                <w:spacing w:val="-7"/>
                <w:w w:val="105"/>
              </w:rPr>
              <w:t xml:space="preserve"> </w:t>
            </w:r>
            <w:r w:rsidRPr="00B048E4">
              <w:rPr>
                <w:b/>
                <w:bCs/>
                <w:w w:val="105"/>
              </w:rPr>
              <w:t>participants</w:t>
            </w:r>
            <w:r w:rsidRPr="00B048E4">
              <w:rPr>
                <w:b/>
                <w:bCs/>
                <w:spacing w:val="-10"/>
                <w:w w:val="105"/>
              </w:rPr>
              <w:t xml:space="preserve"> </w:t>
            </w:r>
            <w:r w:rsidRPr="00B048E4">
              <w:rPr>
                <w:b/>
                <w:bCs/>
                <w:w w:val="105"/>
              </w:rPr>
              <w:t>and</w:t>
            </w:r>
            <w:r w:rsidRPr="00B048E4">
              <w:rPr>
                <w:b/>
                <w:bCs/>
                <w:spacing w:val="-6"/>
                <w:w w:val="105"/>
              </w:rPr>
              <w:t xml:space="preserve"> </w:t>
            </w:r>
            <w:r w:rsidRPr="00B048E4">
              <w:rPr>
                <w:b/>
                <w:bCs/>
                <w:w w:val="105"/>
              </w:rPr>
              <w:t>provide</w:t>
            </w:r>
            <w:r w:rsidRPr="00B048E4">
              <w:rPr>
                <w:b/>
                <w:bCs/>
                <w:spacing w:val="-6"/>
                <w:w w:val="105"/>
              </w:rPr>
              <w:t xml:space="preserve"> </w:t>
            </w:r>
            <w:r w:rsidRPr="00B048E4">
              <w:rPr>
                <w:b/>
                <w:bCs/>
                <w:w w:val="105"/>
              </w:rPr>
              <w:t>greater</w:t>
            </w:r>
            <w:r w:rsidRPr="00B048E4">
              <w:rPr>
                <w:b/>
                <w:bCs/>
                <w:spacing w:val="-4"/>
                <w:w w:val="105"/>
              </w:rPr>
              <w:t xml:space="preserve"> </w:t>
            </w:r>
            <w:r w:rsidRPr="00B048E4">
              <w:rPr>
                <w:b/>
                <w:bCs/>
                <w:w w:val="105"/>
              </w:rPr>
              <w:t>clarity</w:t>
            </w:r>
            <w:r w:rsidRPr="00B048E4">
              <w:rPr>
                <w:b/>
                <w:bCs/>
                <w:spacing w:val="-4"/>
                <w:w w:val="105"/>
              </w:rPr>
              <w:t xml:space="preserve"> </w:t>
            </w:r>
            <w:r w:rsidRPr="00B048E4">
              <w:rPr>
                <w:b/>
                <w:bCs/>
                <w:w w:val="105"/>
              </w:rPr>
              <w:t xml:space="preserve">about escalation and decision-making processes. </w:t>
            </w:r>
          </w:p>
          <w:p w14:paraId="3EDE811D" w14:textId="59197C76" w:rsidR="00B048E4" w:rsidRPr="00A71A34" w:rsidRDefault="00B048E4" w:rsidP="00B048E4">
            <w:pPr>
              <w:pStyle w:val="BodyText"/>
              <w:rPr>
                <w:w w:val="105"/>
              </w:rPr>
            </w:pPr>
            <w:r>
              <w:rPr>
                <w:w w:val="105"/>
              </w:rPr>
              <w:t>This will be made clear to the Board of Homes Tasmania through the updated Ministerial Statement of Expectations. It will be facilitated by the shifting of strategic housing policy to the Department of State Growth, which will support Homes Tasmania to focus on operational matters.</w:t>
            </w:r>
          </w:p>
        </w:tc>
      </w:tr>
      <w:tr w:rsidR="00327F7F" w14:paraId="1C0BF28D" w14:textId="77777777" w:rsidTr="00B048E4">
        <w:tc>
          <w:tcPr>
            <w:tcW w:w="461" w:type="dxa"/>
            <w:tcBorders>
              <w:top w:val="single" w:sz="4" w:space="0" w:color="FFFFFF" w:themeColor="background1"/>
              <w:bottom w:val="single" w:sz="4" w:space="0" w:color="FFFFFF" w:themeColor="background1"/>
            </w:tcBorders>
            <w:shd w:val="clear" w:color="auto" w:fill="16AAC6"/>
          </w:tcPr>
          <w:p w14:paraId="4DB55479" w14:textId="2B0CE70D" w:rsidR="00327F7F" w:rsidRPr="00327F7F" w:rsidRDefault="00327F7F" w:rsidP="00327F7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1</w:t>
            </w:r>
            <w:r w:rsidRPr="00327F7F">
              <w:rPr>
                <w:rStyle w:val="Instructions"/>
                <w:color w:val="FFFFFF" w:themeColor="background1"/>
              </w:rPr>
              <w:t>8</w:t>
            </w:r>
          </w:p>
        </w:tc>
        <w:tc>
          <w:tcPr>
            <w:tcW w:w="9740" w:type="dxa"/>
            <w:shd w:val="clear" w:color="auto" w:fill="CEF3FA"/>
          </w:tcPr>
          <w:p w14:paraId="225CEEB2" w14:textId="77777777" w:rsidR="00327F7F" w:rsidRPr="00B048E4" w:rsidRDefault="00327F7F" w:rsidP="00B048E4">
            <w:pPr>
              <w:pStyle w:val="BodyText"/>
              <w:rPr>
                <w:b/>
                <w:bCs/>
              </w:rPr>
            </w:pPr>
            <w:r w:rsidRPr="00B048E4">
              <w:rPr>
                <w:b/>
                <w:bCs/>
                <w:w w:val="105"/>
              </w:rPr>
              <w:t>Consider the</w:t>
            </w:r>
            <w:r w:rsidRPr="00B048E4">
              <w:rPr>
                <w:b/>
                <w:bCs/>
                <w:spacing w:val="-1"/>
                <w:w w:val="105"/>
              </w:rPr>
              <w:t xml:space="preserve"> </w:t>
            </w:r>
            <w:r w:rsidRPr="00B048E4">
              <w:rPr>
                <w:b/>
                <w:bCs/>
                <w:w w:val="105"/>
              </w:rPr>
              <w:t>development of a</w:t>
            </w:r>
            <w:r w:rsidRPr="00B048E4">
              <w:rPr>
                <w:b/>
                <w:bCs/>
                <w:spacing w:val="-2"/>
                <w:w w:val="105"/>
              </w:rPr>
              <w:t xml:space="preserve"> </w:t>
            </w:r>
            <w:r w:rsidRPr="00B048E4">
              <w:rPr>
                <w:b/>
                <w:bCs/>
                <w:w w:val="105"/>
              </w:rPr>
              <w:t>Direct</w:t>
            </w:r>
            <w:r w:rsidRPr="00B048E4">
              <w:rPr>
                <w:b/>
                <w:bCs/>
                <w:spacing w:val="-1"/>
                <w:w w:val="105"/>
              </w:rPr>
              <w:t xml:space="preserve"> </w:t>
            </w:r>
            <w:r w:rsidRPr="00B048E4">
              <w:rPr>
                <w:b/>
                <w:bCs/>
                <w:w w:val="105"/>
              </w:rPr>
              <w:t>Dealing</w:t>
            </w:r>
            <w:r w:rsidRPr="00B048E4">
              <w:rPr>
                <w:b/>
                <w:bCs/>
                <w:spacing w:val="40"/>
                <w:w w:val="105"/>
              </w:rPr>
              <w:t xml:space="preserve"> </w:t>
            </w:r>
            <w:r w:rsidRPr="00B048E4">
              <w:rPr>
                <w:b/>
                <w:bCs/>
                <w:w w:val="105"/>
              </w:rPr>
              <w:t>(unsolicited</w:t>
            </w:r>
            <w:r w:rsidRPr="00B048E4">
              <w:rPr>
                <w:b/>
                <w:bCs/>
                <w:spacing w:val="-1"/>
                <w:w w:val="105"/>
              </w:rPr>
              <w:t xml:space="preserve"> </w:t>
            </w:r>
            <w:r w:rsidRPr="00B048E4">
              <w:rPr>
                <w:b/>
                <w:bCs/>
                <w:w w:val="105"/>
              </w:rPr>
              <w:t>Proposal) Framework</w:t>
            </w:r>
            <w:r w:rsidRPr="00B048E4">
              <w:rPr>
                <w:b/>
                <w:bCs/>
                <w:spacing w:val="-2"/>
                <w:w w:val="105"/>
              </w:rPr>
              <w:t xml:space="preserve"> </w:t>
            </w:r>
            <w:r w:rsidRPr="00B048E4">
              <w:rPr>
                <w:b/>
                <w:bCs/>
                <w:w w:val="105"/>
              </w:rPr>
              <w:t>to govern unsolicited proposals and co-design with industry participants.</w:t>
            </w:r>
          </w:p>
          <w:p w14:paraId="407678FA" w14:textId="623DEDE4" w:rsidR="00327F7F" w:rsidRPr="00A71A34" w:rsidRDefault="00327F7F" w:rsidP="00B048E4">
            <w:pPr>
              <w:pStyle w:val="BodyText"/>
              <w:rPr>
                <w:w w:val="105"/>
              </w:rPr>
            </w:pPr>
            <w:r>
              <w:rPr>
                <w:w w:val="105"/>
              </w:rPr>
              <w:t xml:space="preserve">This matter will be considered by the Department of Treasury and Finance and the Department of State Growth as a medium-term priority (in 2026). </w:t>
            </w:r>
          </w:p>
        </w:tc>
      </w:tr>
      <w:tr w:rsidR="0086393F" w14:paraId="162CF979" w14:textId="77777777" w:rsidTr="00B048E4">
        <w:tc>
          <w:tcPr>
            <w:tcW w:w="461" w:type="dxa"/>
            <w:tcBorders>
              <w:top w:val="single" w:sz="4" w:space="0" w:color="FFFFFF" w:themeColor="background1"/>
              <w:bottom w:val="single" w:sz="4" w:space="0" w:color="FFFFFF" w:themeColor="background1"/>
            </w:tcBorders>
            <w:shd w:val="clear" w:color="auto" w:fill="16AAC6"/>
          </w:tcPr>
          <w:p w14:paraId="6781BC6C" w14:textId="0AF200B8" w:rsidR="0086393F" w:rsidRPr="00327F7F" w:rsidRDefault="0086393F" w:rsidP="0086393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1</w:t>
            </w:r>
            <w:r w:rsidRPr="00327F7F">
              <w:rPr>
                <w:rStyle w:val="Instructions"/>
                <w:color w:val="FFFFFF" w:themeColor="background1"/>
              </w:rPr>
              <w:t>9</w:t>
            </w:r>
          </w:p>
        </w:tc>
        <w:tc>
          <w:tcPr>
            <w:tcW w:w="9740" w:type="dxa"/>
            <w:shd w:val="clear" w:color="auto" w:fill="CEF3FA"/>
          </w:tcPr>
          <w:p w14:paraId="01124905" w14:textId="2200A99E" w:rsidR="0086393F" w:rsidRPr="00B048E4" w:rsidRDefault="0086393F" w:rsidP="00B048E4">
            <w:pPr>
              <w:pStyle w:val="BodyText"/>
              <w:rPr>
                <w:b/>
                <w:bCs/>
              </w:rPr>
            </w:pPr>
            <w:r w:rsidRPr="00B048E4">
              <w:rPr>
                <w:b/>
                <w:bCs/>
                <w:w w:val="105"/>
              </w:rPr>
              <w:t>Continue</w:t>
            </w:r>
            <w:r w:rsidRPr="00B048E4">
              <w:rPr>
                <w:b/>
                <w:bCs/>
                <w:spacing w:val="-6"/>
                <w:w w:val="105"/>
              </w:rPr>
              <w:t xml:space="preserve"> </w:t>
            </w:r>
            <w:r w:rsidRPr="00B048E4">
              <w:rPr>
                <w:b/>
                <w:bCs/>
                <w:w w:val="105"/>
              </w:rPr>
              <w:t>to</w:t>
            </w:r>
            <w:r w:rsidRPr="00B048E4">
              <w:rPr>
                <w:b/>
                <w:bCs/>
                <w:spacing w:val="-6"/>
                <w:w w:val="105"/>
              </w:rPr>
              <w:t xml:space="preserve"> </w:t>
            </w:r>
            <w:r w:rsidRPr="00B048E4">
              <w:rPr>
                <w:b/>
                <w:bCs/>
                <w:w w:val="105"/>
              </w:rPr>
              <w:t>pursue</w:t>
            </w:r>
            <w:r w:rsidRPr="00B048E4">
              <w:rPr>
                <w:b/>
                <w:bCs/>
                <w:spacing w:val="-6"/>
                <w:w w:val="105"/>
              </w:rPr>
              <w:t xml:space="preserve"> </w:t>
            </w:r>
            <w:r w:rsidRPr="00B048E4">
              <w:rPr>
                <w:b/>
                <w:bCs/>
                <w:w w:val="105"/>
              </w:rPr>
              <w:t>the</w:t>
            </w:r>
            <w:r w:rsidRPr="00B048E4">
              <w:rPr>
                <w:b/>
                <w:bCs/>
                <w:spacing w:val="-4"/>
                <w:w w:val="105"/>
              </w:rPr>
              <w:t xml:space="preserve"> </w:t>
            </w:r>
            <w:r w:rsidRPr="00B048E4">
              <w:rPr>
                <w:b/>
                <w:bCs/>
                <w:w w:val="105"/>
              </w:rPr>
              <w:t>initiatives</w:t>
            </w:r>
            <w:r w:rsidRPr="00B048E4">
              <w:rPr>
                <w:b/>
                <w:bCs/>
                <w:spacing w:val="-6"/>
                <w:w w:val="105"/>
              </w:rPr>
              <w:t xml:space="preserve"> </w:t>
            </w:r>
            <w:r w:rsidRPr="00B048E4">
              <w:rPr>
                <w:b/>
                <w:bCs/>
                <w:w w:val="105"/>
              </w:rPr>
              <w:t>outlined</w:t>
            </w:r>
            <w:r w:rsidRPr="00B048E4">
              <w:rPr>
                <w:b/>
                <w:bCs/>
                <w:spacing w:val="-4"/>
                <w:w w:val="105"/>
              </w:rPr>
              <w:t xml:space="preserve"> </w:t>
            </w:r>
            <w:r w:rsidRPr="00B048E4">
              <w:rPr>
                <w:b/>
                <w:bCs/>
                <w:w w:val="105"/>
              </w:rPr>
              <w:t>in</w:t>
            </w:r>
            <w:r w:rsidRPr="00B048E4">
              <w:rPr>
                <w:b/>
                <w:bCs/>
                <w:spacing w:val="-6"/>
                <w:w w:val="105"/>
              </w:rPr>
              <w:t xml:space="preserve"> </w:t>
            </w:r>
            <w:r w:rsidRPr="00B048E4">
              <w:rPr>
                <w:b/>
                <w:bCs/>
                <w:w w:val="105"/>
              </w:rPr>
              <w:t>the</w:t>
            </w:r>
            <w:r w:rsidRPr="00B048E4">
              <w:rPr>
                <w:b/>
                <w:bCs/>
                <w:spacing w:val="-3"/>
                <w:w w:val="105"/>
              </w:rPr>
              <w:t xml:space="preserve"> </w:t>
            </w:r>
            <w:r w:rsidRPr="00B048E4">
              <w:rPr>
                <w:b/>
                <w:bCs/>
                <w:w w:val="105"/>
              </w:rPr>
              <w:t>Action</w:t>
            </w:r>
            <w:r w:rsidRPr="00B048E4">
              <w:rPr>
                <w:b/>
                <w:bCs/>
                <w:spacing w:val="-6"/>
                <w:w w:val="105"/>
              </w:rPr>
              <w:t xml:space="preserve"> </w:t>
            </w:r>
            <w:r w:rsidR="00AA70B5" w:rsidRPr="00B048E4">
              <w:rPr>
                <w:b/>
                <w:bCs/>
                <w:spacing w:val="-6"/>
                <w:w w:val="105"/>
              </w:rPr>
              <w:t>P</w:t>
            </w:r>
            <w:r w:rsidRPr="00B048E4">
              <w:rPr>
                <w:b/>
                <w:bCs/>
                <w:w w:val="105"/>
              </w:rPr>
              <w:t>lan</w:t>
            </w:r>
            <w:r w:rsidRPr="00B048E4">
              <w:rPr>
                <w:b/>
                <w:bCs/>
                <w:spacing w:val="-6"/>
                <w:w w:val="105"/>
              </w:rPr>
              <w:t xml:space="preserve"> </w:t>
            </w:r>
            <w:r w:rsidRPr="00B048E4">
              <w:rPr>
                <w:b/>
                <w:bCs/>
                <w:w w:val="105"/>
              </w:rPr>
              <w:t>that</w:t>
            </w:r>
            <w:r w:rsidRPr="00B048E4">
              <w:rPr>
                <w:b/>
                <w:bCs/>
                <w:spacing w:val="-4"/>
                <w:w w:val="105"/>
              </w:rPr>
              <w:t xml:space="preserve"> </w:t>
            </w:r>
            <w:r w:rsidRPr="00B048E4">
              <w:rPr>
                <w:b/>
                <w:bCs/>
                <w:w w:val="105"/>
              </w:rPr>
              <w:t>are</w:t>
            </w:r>
            <w:r w:rsidRPr="00B048E4">
              <w:rPr>
                <w:b/>
                <w:bCs/>
                <w:spacing w:val="-6"/>
                <w:w w:val="105"/>
              </w:rPr>
              <w:t xml:space="preserve"> </w:t>
            </w:r>
            <w:r w:rsidRPr="00B048E4">
              <w:rPr>
                <w:b/>
                <w:bCs/>
                <w:w w:val="105"/>
              </w:rPr>
              <w:t>the</w:t>
            </w:r>
            <w:r w:rsidRPr="00B048E4">
              <w:rPr>
                <w:b/>
                <w:bCs/>
                <w:spacing w:val="-6"/>
                <w:w w:val="105"/>
              </w:rPr>
              <w:t xml:space="preserve"> </w:t>
            </w:r>
            <w:r w:rsidRPr="00B048E4">
              <w:rPr>
                <w:b/>
                <w:bCs/>
                <w:w w:val="105"/>
              </w:rPr>
              <w:t>responsibility of other parts of government.</w:t>
            </w:r>
          </w:p>
          <w:p w14:paraId="77265F8F" w14:textId="7BD776AB" w:rsidR="0086393F" w:rsidRPr="00543E45" w:rsidRDefault="0086393F" w:rsidP="00B048E4">
            <w:pPr>
              <w:pStyle w:val="BodyText"/>
              <w:rPr>
                <w:w w:val="105"/>
              </w:rPr>
            </w:pPr>
            <w:r>
              <w:rPr>
                <w:w w:val="105"/>
              </w:rPr>
              <w:t>The Government is continuing to pursue the initiatives outlined in the Action Plan. The Department of State Growth</w:t>
            </w:r>
            <w:r w:rsidR="00645779">
              <w:rPr>
                <w:w w:val="105"/>
              </w:rPr>
              <w:t>, in conjunction with its key partner agencies,</w:t>
            </w:r>
            <w:r>
              <w:rPr>
                <w:w w:val="105"/>
              </w:rPr>
              <w:t xml:space="preserve"> will review the Action Plan, to determine if the responsibility of any actions need to be moved</w:t>
            </w:r>
            <w:r w:rsidR="00B95B57">
              <w:rPr>
                <w:w w:val="105"/>
              </w:rPr>
              <w:t>.</w:t>
            </w:r>
            <w:r>
              <w:rPr>
                <w:w w:val="105"/>
              </w:rPr>
              <w:t xml:space="preserve"> </w:t>
            </w:r>
          </w:p>
        </w:tc>
      </w:tr>
      <w:tr w:rsidR="0086393F" w14:paraId="272D6B56" w14:textId="77777777" w:rsidTr="00B048E4">
        <w:tc>
          <w:tcPr>
            <w:tcW w:w="461" w:type="dxa"/>
            <w:tcBorders>
              <w:top w:val="single" w:sz="4" w:space="0" w:color="FFFFFF" w:themeColor="background1"/>
            </w:tcBorders>
            <w:shd w:val="clear" w:color="auto" w:fill="16AAC6"/>
          </w:tcPr>
          <w:p w14:paraId="433D03A7" w14:textId="3E2D3152" w:rsidR="0086393F" w:rsidRPr="00327F7F" w:rsidRDefault="0086393F" w:rsidP="0086393F">
            <w:pPr>
              <w:pStyle w:val="ListBullet"/>
              <w:numPr>
                <w:ilvl w:val="0"/>
                <w:numId w:val="0"/>
              </w:numPr>
              <w:rPr>
                <w:rStyle w:val="Instructions"/>
                <w:color w:val="FFFFFF" w:themeColor="background1"/>
                <w:szCs w:val="22"/>
                <w:u w:val="none"/>
              </w:rPr>
            </w:pPr>
            <w:r w:rsidRPr="00327F7F">
              <w:rPr>
                <w:rStyle w:val="Instructions"/>
                <w:color w:val="FFFFFF" w:themeColor="background1"/>
                <w:szCs w:val="22"/>
                <w:u w:val="none"/>
              </w:rPr>
              <w:t>2</w:t>
            </w:r>
            <w:r w:rsidRPr="00327F7F">
              <w:rPr>
                <w:rStyle w:val="Instructions"/>
                <w:color w:val="FFFFFF" w:themeColor="background1"/>
              </w:rPr>
              <w:t>0</w:t>
            </w:r>
          </w:p>
        </w:tc>
        <w:tc>
          <w:tcPr>
            <w:tcW w:w="9740" w:type="dxa"/>
            <w:shd w:val="clear" w:color="auto" w:fill="CEF3FA"/>
          </w:tcPr>
          <w:p w14:paraId="66C9FDF7" w14:textId="4FBE1652" w:rsidR="0086393F" w:rsidRPr="00B048E4" w:rsidRDefault="0086393F" w:rsidP="00B048E4">
            <w:pPr>
              <w:pStyle w:val="BodyText"/>
              <w:rPr>
                <w:b/>
                <w:bCs/>
              </w:rPr>
            </w:pPr>
            <w:r w:rsidRPr="00B048E4">
              <w:rPr>
                <w:b/>
                <w:bCs/>
                <w:w w:val="105"/>
              </w:rPr>
              <w:t>Lead</w:t>
            </w:r>
            <w:r w:rsidRPr="00B048E4">
              <w:rPr>
                <w:b/>
                <w:bCs/>
                <w:spacing w:val="-3"/>
                <w:w w:val="105"/>
              </w:rPr>
              <w:t xml:space="preserve"> </w:t>
            </w:r>
            <w:r w:rsidRPr="00B048E4">
              <w:rPr>
                <w:b/>
                <w:bCs/>
                <w:w w:val="105"/>
              </w:rPr>
              <w:t>a</w:t>
            </w:r>
            <w:r w:rsidRPr="00B048E4">
              <w:rPr>
                <w:b/>
                <w:bCs/>
                <w:spacing w:val="-6"/>
                <w:w w:val="105"/>
              </w:rPr>
              <w:t xml:space="preserve"> </w:t>
            </w:r>
            <w:r w:rsidRPr="00B048E4">
              <w:rPr>
                <w:b/>
                <w:bCs/>
                <w:w w:val="105"/>
              </w:rPr>
              <w:t>conversation</w:t>
            </w:r>
            <w:r w:rsidRPr="00B048E4">
              <w:rPr>
                <w:b/>
                <w:bCs/>
                <w:spacing w:val="-6"/>
                <w:w w:val="105"/>
              </w:rPr>
              <w:t xml:space="preserve"> </w:t>
            </w:r>
            <w:r w:rsidRPr="00B048E4">
              <w:rPr>
                <w:b/>
                <w:bCs/>
                <w:w w:val="105"/>
              </w:rPr>
              <w:t>with</w:t>
            </w:r>
            <w:r w:rsidRPr="00B048E4">
              <w:rPr>
                <w:b/>
                <w:bCs/>
                <w:spacing w:val="-5"/>
                <w:w w:val="105"/>
              </w:rPr>
              <w:t xml:space="preserve"> </w:t>
            </w:r>
            <w:r w:rsidRPr="00B048E4">
              <w:rPr>
                <w:b/>
                <w:bCs/>
                <w:w w:val="105"/>
              </w:rPr>
              <w:t>the</w:t>
            </w:r>
            <w:r w:rsidRPr="00B048E4">
              <w:rPr>
                <w:b/>
                <w:bCs/>
                <w:spacing w:val="-2"/>
                <w:w w:val="105"/>
              </w:rPr>
              <w:t xml:space="preserve"> </w:t>
            </w:r>
            <w:r w:rsidRPr="00B048E4">
              <w:rPr>
                <w:b/>
                <w:bCs/>
                <w:w w:val="105"/>
              </w:rPr>
              <w:t>Tasmanian</w:t>
            </w:r>
            <w:r w:rsidRPr="00B048E4">
              <w:rPr>
                <w:b/>
                <w:bCs/>
                <w:spacing w:val="-6"/>
                <w:w w:val="105"/>
              </w:rPr>
              <w:t xml:space="preserve"> </w:t>
            </w:r>
            <w:r w:rsidRPr="00B048E4">
              <w:rPr>
                <w:b/>
                <w:bCs/>
                <w:w w:val="105"/>
              </w:rPr>
              <w:t>community</w:t>
            </w:r>
            <w:r w:rsidRPr="00B048E4">
              <w:rPr>
                <w:b/>
                <w:bCs/>
                <w:spacing w:val="-3"/>
                <w:w w:val="105"/>
              </w:rPr>
              <w:t xml:space="preserve"> </w:t>
            </w:r>
            <w:r w:rsidRPr="00B048E4">
              <w:rPr>
                <w:b/>
                <w:bCs/>
                <w:w w:val="105"/>
              </w:rPr>
              <w:t>regarding</w:t>
            </w:r>
            <w:r w:rsidRPr="00B048E4">
              <w:rPr>
                <w:b/>
                <w:bCs/>
                <w:spacing w:val="-5"/>
                <w:w w:val="105"/>
              </w:rPr>
              <w:t xml:space="preserve"> </w:t>
            </w:r>
            <w:r w:rsidRPr="00B048E4">
              <w:rPr>
                <w:b/>
                <w:bCs/>
                <w:w w:val="105"/>
              </w:rPr>
              <w:t>the</w:t>
            </w:r>
            <w:r w:rsidRPr="00B048E4">
              <w:rPr>
                <w:b/>
                <w:bCs/>
                <w:spacing w:val="-5"/>
                <w:w w:val="105"/>
              </w:rPr>
              <w:t xml:space="preserve"> </w:t>
            </w:r>
            <w:r w:rsidRPr="00B048E4">
              <w:rPr>
                <w:b/>
                <w:bCs/>
                <w:w w:val="105"/>
              </w:rPr>
              <w:t>need</w:t>
            </w:r>
            <w:r w:rsidRPr="00B048E4">
              <w:rPr>
                <w:b/>
                <w:bCs/>
                <w:spacing w:val="-5"/>
                <w:w w:val="105"/>
              </w:rPr>
              <w:t xml:space="preserve"> </w:t>
            </w:r>
            <w:r w:rsidRPr="00B048E4">
              <w:rPr>
                <w:b/>
                <w:bCs/>
                <w:w w:val="105"/>
              </w:rPr>
              <w:t>for</w:t>
            </w:r>
            <w:r w:rsidRPr="00B048E4">
              <w:rPr>
                <w:b/>
                <w:bCs/>
                <w:spacing w:val="-6"/>
                <w:w w:val="105"/>
              </w:rPr>
              <w:t xml:space="preserve"> </w:t>
            </w:r>
            <w:r w:rsidRPr="00B048E4">
              <w:rPr>
                <w:b/>
                <w:bCs/>
                <w:w w:val="105"/>
              </w:rPr>
              <w:t>and benefits of new types of housing in Tasmania.</w:t>
            </w:r>
          </w:p>
          <w:p w14:paraId="16C1E2FB" w14:textId="021D2145" w:rsidR="0086393F" w:rsidRPr="00543E45" w:rsidRDefault="0086393F" w:rsidP="00B048E4">
            <w:pPr>
              <w:pStyle w:val="BodyText"/>
            </w:pPr>
            <w:r>
              <w:rPr>
                <w:w w:val="105"/>
              </w:rPr>
              <w:t xml:space="preserve">This work is part of the ongoing business of Government being led by the Department of State Growth. </w:t>
            </w:r>
            <w:r>
              <w:t xml:space="preserve">The Department of State Growth already has a Housing, Population and Planning team, which was established earlier this year who will be completing this work. </w:t>
            </w:r>
          </w:p>
        </w:tc>
      </w:tr>
    </w:tbl>
    <w:p w14:paraId="2004E770" w14:textId="445A44AC" w:rsidR="006738A3" w:rsidRDefault="00B048E4" w:rsidP="00D21D99">
      <w:pPr>
        <w:rPr>
          <w:rStyle w:val="Instructions"/>
          <w:color w:val="000000" w:themeColor="text1"/>
          <w:szCs w:val="22"/>
          <w:u w:val="none"/>
        </w:rPr>
      </w:pPr>
      <w:r>
        <w:rPr>
          <w:rStyle w:val="Instructions"/>
          <w:noProof/>
          <w:color w:val="000000" w:themeColor="text1"/>
          <w:szCs w:val="22"/>
          <w:u w:val="none"/>
        </w:rPr>
        <w:drawing>
          <wp:anchor distT="0" distB="0" distL="114300" distR="114300" simplePos="0" relativeHeight="251685895" behindDoc="0" locked="0" layoutInCell="1" allowOverlap="1" wp14:anchorId="43C27BDA" wp14:editId="622EED85">
            <wp:simplePos x="0" y="0"/>
            <wp:positionH relativeFrom="margin">
              <wp:posOffset>0</wp:posOffset>
            </wp:positionH>
            <wp:positionV relativeFrom="paragraph">
              <wp:posOffset>4675274</wp:posOffset>
            </wp:positionV>
            <wp:extent cx="6473537" cy="3748357"/>
            <wp:effectExtent l="0" t="0" r="3810" b="5080"/>
            <wp:wrapNone/>
            <wp:docPr id="39573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475" b="4798"/>
                    <a:stretch/>
                  </pic:blipFill>
                  <pic:spPr bwMode="auto">
                    <a:xfrm>
                      <a:off x="0" y="0"/>
                      <a:ext cx="6473537" cy="37483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3FEE56" w14:textId="41120561" w:rsidR="006738A3" w:rsidRDefault="006738A3">
      <w:pPr>
        <w:rPr>
          <w:rStyle w:val="Instructions"/>
          <w:color w:val="000000" w:themeColor="text1"/>
          <w:szCs w:val="22"/>
          <w:u w:val="none"/>
        </w:rPr>
      </w:pPr>
      <w:r>
        <w:rPr>
          <w:rStyle w:val="Instructions"/>
          <w:color w:val="000000" w:themeColor="text1"/>
          <w:szCs w:val="22"/>
          <w:u w:val="none"/>
        </w:rPr>
        <w:br w:type="page"/>
      </w:r>
    </w:p>
    <w:p w14:paraId="24786909" w14:textId="6B653F64" w:rsidR="00D21D99" w:rsidRDefault="00645779" w:rsidP="00D21D99">
      <w:pPr>
        <w:rPr>
          <w:rStyle w:val="Instructions"/>
          <w:color w:val="000000" w:themeColor="text1"/>
          <w:szCs w:val="22"/>
          <w:u w:val="none"/>
        </w:rPr>
      </w:pPr>
      <w:r>
        <w:rPr>
          <w:noProof/>
        </w:rPr>
        <w:lastRenderedPageBreak/>
        <w:drawing>
          <wp:anchor distT="0" distB="0" distL="114300" distR="114300" simplePos="0" relativeHeight="251680775" behindDoc="1" locked="0" layoutInCell="1" allowOverlap="1" wp14:anchorId="532C12C6" wp14:editId="72A78551">
            <wp:simplePos x="0" y="0"/>
            <wp:positionH relativeFrom="page">
              <wp:align>right</wp:align>
            </wp:positionH>
            <wp:positionV relativeFrom="paragraph">
              <wp:posOffset>-1304163</wp:posOffset>
            </wp:positionV>
            <wp:extent cx="7543800" cy="10670293"/>
            <wp:effectExtent l="0" t="0" r="0" b="0"/>
            <wp:wrapNone/>
            <wp:docPr id="1240789188" name="Picture 2" descr="A collage of a person working on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89188" name="Picture 2" descr="A collage of a person working on a house&#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7543800" cy="10670293"/>
                    </a:xfrm>
                    <a:prstGeom prst="rect">
                      <a:avLst/>
                    </a:prstGeom>
                  </pic:spPr>
                </pic:pic>
              </a:graphicData>
            </a:graphic>
            <wp14:sizeRelH relativeFrom="margin">
              <wp14:pctWidth>0</wp14:pctWidth>
            </wp14:sizeRelH>
            <wp14:sizeRelV relativeFrom="margin">
              <wp14:pctHeight>0</wp14:pctHeight>
            </wp14:sizeRelV>
          </wp:anchor>
        </w:drawing>
      </w:r>
    </w:p>
    <w:p w14:paraId="4824BB78" w14:textId="060779F0" w:rsidR="00D21D99" w:rsidRPr="00FC1BAB" w:rsidRDefault="00D21D99" w:rsidP="00D21D99">
      <w:pPr>
        <w:pStyle w:val="BulletNumbered"/>
      </w:pPr>
    </w:p>
    <w:p w14:paraId="4E64B653" w14:textId="60B8B6CA" w:rsidR="00E90F31" w:rsidRDefault="00E90F31" w:rsidP="00E90F31">
      <w:pPr>
        <w:pStyle w:val="ListBullet"/>
        <w:numPr>
          <w:ilvl w:val="0"/>
          <w:numId w:val="0"/>
        </w:numPr>
        <w:rPr>
          <w:rStyle w:val="Instructions"/>
          <w:color w:val="000000" w:themeColor="text1"/>
          <w:szCs w:val="22"/>
          <w:u w:val="none"/>
        </w:rPr>
      </w:pPr>
    </w:p>
    <w:p w14:paraId="7BA6A4E1" w14:textId="0DCA384E" w:rsidR="009A4C13" w:rsidRDefault="009A4C13" w:rsidP="009A4C13">
      <w:pPr>
        <w:pStyle w:val="BodyText"/>
        <w:rPr>
          <w:rStyle w:val="Instructions"/>
          <w:color w:val="000000" w:themeColor="text1"/>
          <w:u w:val="none"/>
        </w:rPr>
      </w:pPr>
    </w:p>
    <w:p w14:paraId="4580AE9E" w14:textId="7605C958" w:rsidR="005C3B54" w:rsidRDefault="00213CDC">
      <w:pPr>
        <w:rPr>
          <w:rStyle w:val="Instructions"/>
          <w:color w:val="000000" w:themeColor="text1"/>
          <w:u w:val="none"/>
        </w:rPr>
      </w:pPr>
      <w:r>
        <w:rPr>
          <w:rStyle w:val="Instructions"/>
          <w:color w:val="000000" w:themeColor="text1"/>
          <w:u w:val="none"/>
        </w:rPr>
        <w:br w:type="page"/>
      </w:r>
    </w:p>
    <w:p w14:paraId="1EC2E49A" w14:textId="0A78358E" w:rsidR="009A4C13" w:rsidRPr="007C2602" w:rsidRDefault="009A4C13" w:rsidP="003F6291">
      <w:pPr>
        <w:pStyle w:val="BodyText"/>
        <w:sectPr w:rsidR="009A4C13" w:rsidRPr="007C2602" w:rsidSect="004C4A2D">
          <w:headerReference w:type="default" r:id="rId27"/>
          <w:footerReference w:type="default" r:id="rId28"/>
          <w:pgSz w:w="11906" w:h="16838" w:code="9"/>
          <w:pgMar w:top="1276" w:right="851" w:bottom="550" w:left="851" w:header="851" w:footer="223" w:gutter="0"/>
          <w:pgNumType w:start="1"/>
          <w:cols w:space="708"/>
          <w:docGrid w:linePitch="360"/>
        </w:sectPr>
      </w:pPr>
    </w:p>
    <w:p w14:paraId="35C89B32" w14:textId="154E456C" w:rsidR="008F75B7" w:rsidRPr="003F6291" w:rsidRDefault="0096470D" w:rsidP="0050765E">
      <w:pPr>
        <w:pStyle w:val="BodyText"/>
      </w:pPr>
      <w:r>
        <w:rPr>
          <w:noProof/>
        </w:rPr>
        <w:lastRenderedPageBreak/>
        <w:drawing>
          <wp:anchor distT="0" distB="0" distL="114300" distR="114300" simplePos="0" relativeHeight="251663367" behindDoc="1" locked="0" layoutInCell="1" allowOverlap="1" wp14:anchorId="39DC8005" wp14:editId="68322F84">
            <wp:simplePos x="0" y="0"/>
            <wp:positionH relativeFrom="page">
              <wp:align>left</wp:align>
            </wp:positionH>
            <wp:positionV relativeFrom="paragraph">
              <wp:posOffset>-2430780</wp:posOffset>
            </wp:positionV>
            <wp:extent cx="7562850" cy="10697367"/>
            <wp:effectExtent l="0" t="0" r="0" b="8890"/>
            <wp:wrapNone/>
            <wp:docPr id="609042248" name="Picture 4" descr="A white and blu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042248" name="Picture 4" descr="A white and blue background with black text&#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7579845" cy="10721406"/>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3"/>
        <w:gridCol w:w="5190"/>
      </w:tblGrid>
      <w:tr w:rsidR="007C2602" w:rsidRPr="007147C3" w14:paraId="1E6CFDCD" w14:textId="77777777" w:rsidTr="0096470D">
        <w:trPr>
          <w:trHeight w:val="1186"/>
        </w:trPr>
        <w:tc>
          <w:tcPr>
            <w:tcW w:w="6663" w:type="dxa"/>
            <w:gridSpan w:val="2"/>
          </w:tcPr>
          <w:p w14:paraId="79106643" w14:textId="530511CE" w:rsidR="007C2602" w:rsidRPr="0096470D" w:rsidRDefault="007C2602" w:rsidP="0096470D">
            <w:pPr>
              <w:pStyle w:val="BackPage"/>
              <w:rPr>
                <w:color w:val="auto"/>
              </w:rPr>
            </w:pPr>
            <w:r w:rsidRPr="007C2602">
              <w:rPr>
                <w:rFonts w:ascii="Arial" w:hAnsi="Arial"/>
                <w:color w:val="auto"/>
              </w:rPr>
              <w:t>Department of State Growth</w:t>
            </w:r>
          </w:p>
          <w:p w14:paraId="05300643" w14:textId="4D9AA672" w:rsidR="007C2602" w:rsidRPr="0096470D" w:rsidRDefault="00747D81" w:rsidP="0096470D">
            <w:pPr>
              <w:pStyle w:val="BackPage"/>
              <w:rPr>
                <w:color w:val="auto"/>
              </w:rPr>
            </w:pPr>
            <w:r w:rsidRPr="00747D81">
              <w:rPr>
                <w:rFonts w:ascii="Arial" w:hAnsi="Arial" w:cs="Arial"/>
                <w:color w:val="auto"/>
              </w:rPr>
              <w:t>4 Salamanca Place</w:t>
            </w:r>
            <w:r w:rsidR="007C2602" w:rsidRPr="007147C3">
              <w:rPr>
                <w:rFonts w:ascii="Arial" w:hAnsi="Arial" w:cs="Arial"/>
                <w:color w:val="auto"/>
              </w:rPr>
              <w:br/>
            </w:r>
            <w:r>
              <w:rPr>
                <w:rFonts w:ascii="Arial" w:hAnsi="Arial" w:cs="Arial"/>
                <w:color w:val="auto"/>
              </w:rPr>
              <w:t>Hobart</w:t>
            </w:r>
            <w:r w:rsidR="007C2602" w:rsidRPr="007147C3">
              <w:rPr>
                <w:rFonts w:ascii="Arial" w:hAnsi="Arial" w:cs="Arial"/>
                <w:color w:val="auto"/>
              </w:rPr>
              <w:t xml:space="preserve"> TAS 7001 Australia</w:t>
            </w:r>
          </w:p>
        </w:tc>
      </w:tr>
      <w:tr w:rsidR="007147C3" w14:paraId="3D6EBFC7" w14:textId="77777777" w:rsidTr="007147C3">
        <w:tc>
          <w:tcPr>
            <w:tcW w:w="1473" w:type="dxa"/>
          </w:tcPr>
          <w:p w14:paraId="6F46DF94" w14:textId="77777777" w:rsidR="007147C3" w:rsidRPr="007147C3" w:rsidRDefault="007147C3" w:rsidP="003F6291">
            <w:pPr>
              <w:rPr>
                <w:rFonts w:ascii="Arial" w:hAnsi="Arial" w:cs="Arial"/>
                <w:color w:val="auto"/>
              </w:rPr>
            </w:pPr>
            <w:r w:rsidRPr="007147C3">
              <w:rPr>
                <w:rFonts w:ascii="Arial" w:hAnsi="Arial" w:cs="Arial"/>
                <w:color w:val="auto"/>
              </w:rPr>
              <w:t>Phone:</w:t>
            </w:r>
          </w:p>
        </w:tc>
        <w:tc>
          <w:tcPr>
            <w:tcW w:w="5190" w:type="dxa"/>
          </w:tcPr>
          <w:p w14:paraId="0CFC12ED" w14:textId="1002B1DC" w:rsidR="007147C3" w:rsidRPr="000050E7" w:rsidRDefault="0093165C" w:rsidP="003F6291">
            <w:pPr>
              <w:rPr>
                <w:rFonts w:ascii="Arial" w:hAnsi="Arial" w:cs="Arial"/>
                <w:color w:val="auto"/>
                <w:highlight w:val="yellow"/>
              </w:rPr>
            </w:pPr>
            <w:r w:rsidRPr="0093165C">
              <w:rPr>
                <w:rFonts w:ascii="Arial" w:hAnsi="Arial" w:cs="Arial"/>
                <w:color w:val="auto"/>
              </w:rPr>
              <w:t>1800 030 688</w:t>
            </w:r>
          </w:p>
        </w:tc>
      </w:tr>
      <w:tr w:rsidR="007147C3" w14:paraId="54585C0B" w14:textId="77777777" w:rsidTr="007147C3">
        <w:tc>
          <w:tcPr>
            <w:tcW w:w="1473" w:type="dxa"/>
          </w:tcPr>
          <w:p w14:paraId="7C6E4BDA" w14:textId="77777777" w:rsidR="007147C3" w:rsidRPr="007147C3" w:rsidRDefault="007147C3" w:rsidP="003F6291">
            <w:pPr>
              <w:rPr>
                <w:rFonts w:ascii="Arial" w:hAnsi="Arial" w:cs="Arial"/>
                <w:color w:val="auto"/>
              </w:rPr>
            </w:pPr>
            <w:r w:rsidRPr="007147C3">
              <w:rPr>
                <w:rFonts w:ascii="Arial" w:hAnsi="Arial" w:cs="Arial"/>
                <w:color w:val="auto"/>
              </w:rPr>
              <w:t>Email:</w:t>
            </w:r>
          </w:p>
        </w:tc>
        <w:tc>
          <w:tcPr>
            <w:tcW w:w="5190" w:type="dxa"/>
          </w:tcPr>
          <w:p w14:paraId="2E60D857" w14:textId="43B4501E" w:rsidR="007147C3" w:rsidRPr="0093165C" w:rsidRDefault="00000000" w:rsidP="003F6291">
            <w:pPr>
              <w:rPr>
                <w:rFonts w:ascii="Arial" w:hAnsi="Arial" w:cs="Arial"/>
                <w:color w:val="auto"/>
                <w:highlight w:val="yellow"/>
              </w:rPr>
            </w:pPr>
            <w:hyperlink r:id="rId30" w:history="1">
              <w:r w:rsidR="0093165C" w:rsidRPr="0093165C">
                <w:rPr>
                  <w:rStyle w:val="Hyperlink"/>
                  <w:rFonts w:ascii="Arial" w:hAnsi="Arial" w:cs="Arial"/>
                </w:rPr>
                <w:t>housingpolicy@stategrowth.tas.gov.au</w:t>
              </w:r>
            </w:hyperlink>
          </w:p>
        </w:tc>
      </w:tr>
      <w:tr w:rsidR="007147C3" w14:paraId="54B09673" w14:textId="77777777" w:rsidTr="007147C3">
        <w:tc>
          <w:tcPr>
            <w:tcW w:w="1473" w:type="dxa"/>
          </w:tcPr>
          <w:p w14:paraId="5CCFF50D" w14:textId="77777777" w:rsidR="007147C3" w:rsidRPr="007147C3" w:rsidRDefault="007147C3" w:rsidP="003F6291">
            <w:pPr>
              <w:rPr>
                <w:rFonts w:ascii="Arial" w:hAnsi="Arial" w:cs="Arial"/>
                <w:color w:val="auto"/>
              </w:rPr>
            </w:pPr>
            <w:r w:rsidRPr="007147C3">
              <w:rPr>
                <w:rFonts w:ascii="Arial" w:hAnsi="Arial" w:cs="Arial"/>
                <w:color w:val="auto"/>
              </w:rPr>
              <w:t>Web:</w:t>
            </w:r>
          </w:p>
        </w:tc>
        <w:tc>
          <w:tcPr>
            <w:tcW w:w="5190" w:type="dxa"/>
          </w:tcPr>
          <w:p w14:paraId="30F8D282" w14:textId="331A5C28" w:rsidR="007147C3" w:rsidRPr="0093165C" w:rsidRDefault="007147C3" w:rsidP="003F6291">
            <w:pPr>
              <w:rPr>
                <w:rFonts w:ascii="Arial" w:hAnsi="Arial" w:cs="Arial"/>
                <w:color w:val="auto"/>
              </w:rPr>
            </w:pPr>
            <w:r w:rsidRPr="0093165C">
              <w:rPr>
                <w:rFonts w:ascii="Arial" w:hAnsi="Arial" w:cs="Arial"/>
                <w:color w:val="auto"/>
              </w:rPr>
              <w:t>www.</w:t>
            </w:r>
            <w:r w:rsidR="0093165C" w:rsidRPr="0093165C">
              <w:rPr>
                <w:rFonts w:ascii="Arial" w:hAnsi="Arial" w:cs="Arial"/>
                <w:color w:val="auto"/>
              </w:rPr>
              <w:t>stategrowth</w:t>
            </w:r>
            <w:r w:rsidRPr="0093165C">
              <w:rPr>
                <w:rFonts w:ascii="Arial" w:hAnsi="Arial" w:cs="Arial"/>
                <w:color w:val="auto"/>
              </w:rPr>
              <w:t>.tas.gov.au</w:t>
            </w:r>
          </w:p>
        </w:tc>
      </w:tr>
    </w:tbl>
    <w:p w14:paraId="15888FB9" w14:textId="77777777" w:rsidR="008F75B7" w:rsidRPr="00553876" w:rsidRDefault="008F75B7" w:rsidP="003F6291">
      <w:pPr>
        <w:pStyle w:val="BodyText"/>
      </w:pPr>
    </w:p>
    <w:p w14:paraId="32FE6CCC" w14:textId="77777777" w:rsidR="008F75B7" w:rsidRDefault="008F75B7" w:rsidP="003F6291">
      <w:pPr>
        <w:pStyle w:val="BodyText"/>
        <w:sectPr w:rsidR="008F75B7" w:rsidSect="004C4A2D">
          <w:headerReference w:type="default" r:id="rId31"/>
          <w:pgSz w:w="11906" w:h="16838" w:code="9"/>
          <w:pgMar w:top="3828" w:right="851" w:bottom="550" w:left="851" w:header="851" w:footer="550" w:gutter="0"/>
          <w:pgNumType w:start="1"/>
          <w:cols w:space="708"/>
          <w:docGrid w:linePitch="360"/>
        </w:sectPr>
      </w:pPr>
    </w:p>
    <w:p w14:paraId="65A0979D" w14:textId="77777777" w:rsidR="008F75B7" w:rsidRPr="00EC2562" w:rsidRDefault="008F75B7" w:rsidP="00EC2562"/>
    <w:sectPr w:rsidR="008F75B7" w:rsidRPr="00EC2562" w:rsidSect="004C4A2D">
      <w:headerReference w:type="default" r:id="rId32"/>
      <w:footerReference w:type="default" r:id="rId33"/>
      <w:type w:val="continuous"/>
      <w:pgSz w:w="11906" w:h="16838" w:code="9"/>
      <w:pgMar w:top="4395" w:right="851" w:bottom="1134"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9620B" w14:textId="77777777" w:rsidR="00AF3006" w:rsidRDefault="00AF3006">
      <w:pPr>
        <w:spacing w:before="0" w:after="0" w:line="240" w:lineRule="auto"/>
      </w:pPr>
      <w:r>
        <w:separator/>
      </w:r>
    </w:p>
  </w:endnote>
  <w:endnote w:type="continuationSeparator" w:id="0">
    <w:p w14:paraId="386B621D" w14:textId="77777777" w:rsidR="00AF3006" w:rsidRDefault="00AF3006">
      <w:pPr>
        <w:spacing w:before="0" w:after="0" w:line="240" w:lineRule="auto"/>
      </w:pPr>
      <w:r>
        <w:continuationSeparator/>
      </w:r>
    </w:p>
  </w:endnote>
  <w:endnote w:type="continuationNotice" w:id="1">
    <w:p w14:paraId="2FB26D93" w14:textId="77777777" w:rsidR="00AF3006" w:rsidRDefault="00AF300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00166" w14:textId="703F9CF0" w:rsidR="00407F3C" w:rsidRDefault="003B57C0">
    <w:pPr>
      <w:pStyle w:val="Footer"/>
    </w:pPr>
    <w:r>
      <w:t>Government Response to Homes Tasmania Independent Review</w:t>
    </w:r>
    <w:r w:rsidR="008F75B7" w:rsidRPr="00C60B42">
      <w:t xml:space="preserve"> </w:t>
    </w:r>
    <w:r w:rsidR="008F75B7" w:rsidRPr="00C60B42">
      <w:tab/>
    </w:r>
    <w:r w:rsidR="008F75B7" w:rsidRPr="00C60B42">
      <w:fldChar w:fldCharType="begin"/>
    </w:r>
    <w:r w:rsidR="008F75B7" w:rsidRPr="00C60B42">
      <w:instrText xml:space="preserve">PAGE  </w:instrText>
    </w:r>
    <w:r w:rsidR="008F75B7" w:rsidRPr="00C60B42">
      <w:fldChar w:fldCharType="separate"/>
    </w:r>
    <w:r w:rsidR="00023E01">
      <w:rPr>
        <w:noProof/>
      </w:rPr>
      <w:t>2</w:t>
    </w:r>
    <w:r w:rsidR="008F75B7" w:rsidRPr="00C60B4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9C56F" w14:textId="77777777" w:rsidR="00F74936" w:rsidRDefault="00F74936">
    <w:pPr>
      <w:pStyle w:val="Footer"/>
    </w:pPr>
    <w:r w:rsidRPr="00C60B42">
      <w:t xml:space="preserve">Document title </w:t>
    </w:r>
    <w:r w:rsidRPr="00C60B42">
      <w:tab/>
    </w:r>
    <w:r w:rsidRPr="00C60B42">
      <w:fldChar w:fldCharType="begin"/>
    </w:r>
    <w:r w:rsidRPr="00C60B42">
      <w:instrText xml:space="preserve">PAGE  </w:instrText>
    </w:r>
    <w:r w:rsidRPr="00C60B42">
      <w:fldChar w:fldCharType="separate"/>
    </w:r>
    <w:r>
      <w:rPr>
        <w:noProof/>
      </w:rPr>
      <w:t>5</w:t>
    </w:r>
    <w:r w:rsidRPr="00C60B4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12894" w14:textId="77777777" w:rsidR="00AF3006" w:rsidRDefault="00AF3006">
      <w:pPr>
        <w:spacing w:before="0" w:after="0" w:line="240" w:lineRule="auto"/>
      </w:pPr>
      <w:r>
        <w:separator/>
      </w:r>
    </w:p>
  </w:footnote>
  <w:footnote w:type="continuationSeparator" w:id="0">
    <w:p w14:paraId="68474249" w14:textId="77777777" w:rsidR="00AF3006" w:rsidRDefault="00AF3006">
      <w:pPr>
        <w:spacing w:before="0" w:after="0" w:line="240" w:lineRule="auto"/>
      </w:pPr>
      <w:r>
        <w:continuationSeparator/>
      </w:r>
    </w:p>
  </w:footnote>
  <w:footnote w:type="continuationNotice" w:id="1">
    <w:p w14:paraId="36369A46" w14:textId="77777777" w:rsidR="00AF3006" w:rsidRDefault="00AF300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523BB491" w14:paraId="345AA29B" w14:textId="77777777" w:rsidTr="523BB491">
      <w:trPr>
        <w:trHeight w:val="300"/>
      </w:trPr>
      <w:tc>
        <w:tcPr>
          <w:tcW w:w="3400" w:type="dxa"/>
        </w:tcPr>
        <w:p w14:paraId="52E6A56A" w14:textId="3F4296B4" w:rsidR="523BB491" w:rsidRDefault="523BB491" w:rsidP="523BB491">
          <w:pPr>
            <w:pStyle w:val="Header"/>
            <w:ind w:left="-115"/>
          </w:pPr>
        </w:p>
      </w:tc>
      <w:tc>
        <w:tcPr>
          <w:tcW w:w="3400" w:type="dxa"/>
        </w:tcPr>
        <w:p w14:paraId="2BC5F849" w14:textId="1D4D0E0D" w:rsidR="523BB491" w:rsidRDefault="523BB491" w:rsidP="523BB491">
          <w:pPr>
            <w:pStyle w:val="Header"/>
            <w:jc w:val="center"/>
          </w:pPr>
        </w:p>
      </w:tc>
      <w:tc>
        <w:tcPr>
          <w:tcW w:w="3400" w:type="dxa"/>
        </w:tcPr>
        <w:p w14:paraId="466AC729" w14:textId="2A3F4648" w:rsidR="523BB491" w:rsidRDefault="523BB491" w:rsidP="523BB491">
          <w:pPr>
            <w:pStyle w:val="Header"/>
            <w:ind w:right="-115"/>
            <w:jc w:val="right"/>
          </w:pPr>
        </w:p>
      </w:tc>
    </w:tr>
  </w:tbl>
  <w:p w14:paraId="4068D8FD" w14:textId="5464DA00" w:rsidR="00B33FF4" w:rsidRDefault="00B33F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523BB491" w14:paraId="13F8499B" w14:textId="77777777" w:rsidTr="523BB491">
      <w:trPr>
        <w:trHeight w:val="300"/>
      </w:trPr>
      <w:tc>
        <w:tcPr>
          <w:tcW w:w="3400" w:type="dxa"/>
        </w:tcPr>
        <w:p w14:paraId="4811CCA4" w14:textId="0C5473B0" w:rsidR="523BB491" w:rsidRDefault="523BB491" w:rsidP="523BB491">
          <w:pPr>
            <w:pStyle w:val="Header"/>
            <w:ind w:left="-115"/>
          </w:pPr>
        </w:p>
      </w:tc>
      <w:tc>
        <w:tcPr>
          <w:tcW w:w="3400" w:type="dxa"/>
        </w:tcPr>
        <w:p w14:paraId="7B96B2EE" w14:textId="66DE3F3B" w:rsidR="523BB491" w:rsidRDefault="523BB491" w:rsidP="523BB491">
          <w:pPr>
            <w:pStyle w:val="Header"/>
            <w:jc w:val="center"/>
          </w:pPr>
        </w:p>
      </w:tc>
      <w:tc>
        <w:tcPr>
          <w:tcW w:w="3400" w:type="dxa"/>
        </w:tcPr>
        <w:p w14:paraId="0E6F7C38" w14:textId="0BFC3CEE" w:rsidR="523BB491" w:rsidRDefault="523BB491" w:rsidP="523BB491">
          <w:pPr>
            <w:pStyle w:val="Header"/>
            <w:ind w:right="-115"/>
            <w:jc w:val="right"/>
          </w:pPr>
        </w:p>
      </w:tc>
    </w:tr>
  </w:tbl>
  <w:p w14:paraId="400155C7" w14:textId="03744FD7" w:rsidR="00B33FF4" w:rsidRDefault="00B33F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523BB491" w14:paraId="75536B30" w14:textId="77777777" w:rsidTr="523BB491">
      <w:trPr>
        <w:trHeight w:val="300"/>
      </w:trPr>
      <w:tc>
        <w:tcPr>
          <w:tcW w:w="3400" w:type="dxa"/>
        </w:tcPr>
        <w:p w14:paraId="739494D1" w14:textId="56D949A0" w:rsidR="523BB491" w:rsidRDefault="523BB491" w:rsidP="523BB491">
          <w:pPr>
            <w:pStyle w:val="Header"/>
            <w:ind w:left="-115"/>
          </w:pPr>
        </w:p>
      </w:tc>
      <w:tc>
        <w:tcPr>
          <w:tcW w:w="3400" w:type="dxa"/>
        </w:tcPr>
        <w:p w14:paraId="693FFA4A" w14:textId="6CF18C3E" w:rsidR="523BB491" w:rsidRDefault="523BB491" w:rsidP="523BB491">
          <w:pPr>
            <w:pStyle w:val="Header"/>
            <w:jc w:val="center"/>
          </w:pPr>
        </w:p>
      </w:tc>
      <w:tc>
        <w:tcPr>
          <w:tcW w:w="3400" w:type="dxa"/>
        </w:tcPr>
        <w:p w14:paraId="4A4B722D" w14:textId="51DC4357" w:rsidR="523BB491" w:rsidRDefault="523BB491" w:rsidP="523BB491">
          <w:pPr>
            <w:pStyle w:val="Header"/>
            <w:ind w:right="-115"/>
            <w:jc w:val="right"/>
          </w:pPr>
        </w:p>
      </w:tc>
    </w:tr>
  </w:tbl>
  <w:p w14:paraId="48BCF610" w14:textId="057492E0" w:rsidR="00B33FF4" w:rsidRDefault="00B33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2674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0EC53B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A2DC66D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76CFE"/>
    <w:multiLevelType w:val="hybridMultilevel"/>
    <w:tmpl w:val="2954F1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1C50285"/>
    <w:multiLevelType w:val="hybridMultilevel"/>
    <w:tmpl w:val="EC288192"/>
    <w:lvl w:ilvl="0" w:tplc="0C09000F">
      <w:start w:val="1"/>
      <w:numFmt w:val="decimal"/>
      <w:lvlText w:val="%1."/>
      <w:lvlJc w:val="left"/>
      <w:pPr>
        <w:ind w:left="949" w:hanging="495"/>
      </w:pPr>
      <w:rPr>
        <w:rFont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5" w15:restartNumberingAfterBreak="0">
    <w:nsid w:val="0D4076D7"/>
    <w:multiLevelType w:val="multilevel"/>
    <w:tmpl w:val="9A948C84"/>
    <w:lvl w:ilvl="0">
      <w:start w:val="1"/>
      <w:numFmt w:val="decimal"/>
      <w:lvlText w:val="%1."/>
      <w:lvlJc w:val="left"/>
      <w:pPr>
        <w:ind w:left="590" w:hanging="363"/>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4E470AF"/>
    <w:multiLevelType w:val="hybridMultilevel"/>
    <w:tmpl w:val="61904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76138C"/>
    <w:multiLevelType w:val="multilevel"/>
    <w:tmpl w:val="C2F23A90"/>
    <w:lvl w:ilvl="0">
      <w:start w:val="1"/>
      <w:numFmt w:val="bullet"/>
      <w:pStyle w:val="List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9C70FCC"/>
    <w:multiLevelType w:val="multilevel"/>
    <w:tmpl w:val="9A948C84"/>
    <w:lvl w:ilvl="0">
      <w:start w:val="1"/>
      <w:numFmt w:val="decimal"/>
      <w:lvlText w:val="%1."/>
      <w:lvlJc w:val="left"/>
      <w:pPr>
        <w:ind w:left="590" w:hanging="363"/>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EA7ABA"/>
    <w:multiLevelType w:val="hybridMultilevel"/>
    <w:tmpl w:val="133C5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B46D1B"/>
    <w:multiLevelType w:val="hybridMultilevel"/>
    <w:tmpl w:val="6938060A"/>
    <w:lvl w:ilvl="0" w:tplc="03F41118">
      <w:start w:val="1"/>
      <w:numFmt w:val="bullet"/>
      <w:lvlText w:val=""/>
      <w:lvlJc w:val="left"/>
      <w:pPr>
        <w:ind w:left="567"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563985"/>
    <w:multiLevelType w:val="multilevel"/>
    <w:tmpl w:val="9A948C84"/>
    <w:lvl w:ilvl="0">
      <w:start w:val="1"/>
      <w:numFmt w:val="decimal"/>
      <w:lvlText w:val="%1."/>
      <w:lvlJc w:val="left"/>
      <w:pPr>
        <w:ind w:left="590" w:hanging="363"/>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8F7115E"/>
    <w:multiLevelType w:val="hybridMultilevel"/>
    <w:tmpl w:val="F2CCFC18"/>
    <w:lvl w:ilvl="0" w:tplc="BB288320">
      <w:start w:val="1"/>
      <w:numFmt w:val="decimal"/>
      <w:lvlText w:val="%1."/>
      <w:lvlJc w:val="left"/>
      <w:pPr>
        <w:ind w:left="5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34724"/>
    <w:multiLevelType w:val="multilevel"/>
    <w:tmpl w:val="9A948C84"/>
    <w:lvl w:ilvl="0">
      <w:start w:val="1"/>
      <w:numFmt w:val="decimal"/>
      <w:lvlText w:val="%1."/>
      <w:lvlJc w:val="left"/>
      <w:pPr>
        <w:ind w:left="590" w:hanging="363"/>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07289E1"/>
    <w:multiLevelType w:val="multilevel"/>
    <w:tmpl w:val="FFFFFFFF"/>
    <w:lvl w:ilvl="0">
      <w:start w:val="1"/>
      <w:numFmt w:val="decimal"/>
      <w:lvlText w:val="%1."/>
      <w:lvlJc w:val="left"/>
      <w:pPr>
        <w:ind w:left="590" w:hanging="363"/>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15" w15:restartNumberingAfterBreak="0">
    <w:nsid w:val="73CB12AF"/>
    <w:multiLevelType w:val="multilevel"/>
    <w:tmpl w:val="BBBC983E"/>
    <w:lvl w:ilvl="0">
      <w:start w:val="1"/>
      <w:numFmt w:val="bullet"/>
      <w:lvlText w:val=""/>
      <w:lvlJc w:val="left"/>
      <w:pPr>
        <w:ind w:left="720" w:hanging="49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6156059"/>
    <w:multiLevelType w:val="hybridMultilevel"/>
    <w:tmpl w:val="4D7CF7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C6F0257"/>
    <w:multiLevelType w:val="hybridMultilevel"/>
    <w:tmpl w:val="0AACA306"/>
    <w:lvl w:ilvl="0" w:tplc="C50E1D92">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4733808">
    <w:abstractNumId w:val="2"/>
  </w:num>
  <w:num w:numId="2" w16cid:durableId="338198444">
    <w:abstractNumId w:val="7"/>
  </w:num>
  <w:num w:numId="3" w16cid:durableId="1709836630">
    <w:abstractNumId w:val="5"/>
  </w:num>
  <w:num w:numId="4" w16cid:durableId="1214806126">
    <w:abstractNumId w:val="10"/>
  </w:num>
  <w:num w:numId="5" w16cid:durableId="1018584870">
    <w:abstractNumId w:val="12"/>
  </w:num>
  <w:num w:numId="6" w16cid:durableId="296378332">
    <w:abstractNumId w:val="0"/>
  </w:num>
  <w:num w:numId="7" w16cid:durableId="1026441959">
    <w:abstractNumId w:val="1"/>
  </w:num>
  <w:num w:numId="8" w16cid:durableId="1569806106">
    <w:abstractNumId w:val="15"/>
  </w:num>
  <w:num w:numId="9" w16cid:durableId="1427337969">
    <w:abstractNumId w:val="4"/>
  </w:num>
  <w:num w:numId="10" w16cid:durableId="1911772169">
    <w:abstractNumId w:val="7"/>
  </w:num>
  <w:num w:numId="11" w16cid:durableId="1355964061">
    <w:abstractNumId w:val="7"/>
  </w:num>
  <w:num w:numId="12" w16cid:durableId="1359699823">
    <w:abstractNumId w:val="3"/>
  </w:num>
  <w:num w:numId="13" w16cid:durableId="1547838609">
    <w:abstractNumId w:val="17"/>
  </w:num>
  <w:num w:numId="14" w16cid:durableId="1092435060">
    <w:abstractNumId w:val="5"/>
  </w:num>
  <w:num w:numId="15" w16cid:durableId="1885867216">
    <w:abstractNumId w:val="5"/>
  </w:num>
  <w:num w:numId="16" w16cid:durableId="1064335477">
    <w:abstractNumId w:val="5"/>
  </w:num>
  <w:num w:numId="17" w16cid:durableId="263534326">
    <w:abstractNumId w:val="5"/>
  </w:num>
  <w:num w:numId="18" w16cid:durableId="1521359411">
    <w:abstractNumId w:val="5"/>
  </w:num>
  <w:num w:numId="19" w16cid:durableId="1286736527">
    <w:abstractNumId w:val="5"/>
  </w:num>
  <w:num w:numId="20" w16cid:durableId="1739009307">
    <w:abstractNumId w:val="6"/>
  </w:num>
  <w:num w:numId="21" w16cid:durableId="1959335231">
    <w:abstractNumId w:val="14"/>
  </w:num>
  <w:num w:numId="22" w16cid:durableId="712967446">
    <w:abstractNumId w:val="9"/>
  </w:num>
  <w:num w:numId="23" w16cid:durableId="1190950283">
    <w:abstractNumId w:val="16"/>
  </w:num>
  <w:num w:numId="24" w16cid:durableId="829829619">
    <w:abstractNumId w:val="8"/>
  </w:num>
  <w:num w:numId="25" w16cid:durableId="1998224928">
    <w:abstractNumId w:val="13"/>
  </w:num>
  <w:num w:numId="26" w16cid:durableId="16241190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mirrorMargin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88"/>
    <w:rsid w:val="00001D90"/>
    <w:rsid w:val="0000234E"/>
    <w:rsid w:val="00003E61"/>
    <w:rsid w:val="00004E0E"/>
    <w:rsid w:val="000050E7"/>
    <w:rsid w:val="000106D6"/>
    <w:rsid w:val="00011A69"/>
    <w:rsid w:val="00012A15"/>
    <w:rsid w:val="00015824"/>
    <w:rsid w:val="00017CDA"/>
    <w:rsid w:val="00020941"/>
    <w:rsid w:val="00021DB4"/>
    <w:rsid w:val="000228D6"/>
    <w:rsid w:val="00022D20"/>
    <w:rsid w:val="00022D66"/>
    <w:rsid w:val="00022FD0"/>
    <w:rsid w:val="00023E01"/>
    <w:rsid w:val="00024B3B"/>
    <w:rsid w:val="000256FE"/>
    <w:rsid w:val="0002577D"/>
    <w:rsid w:val="000263C3"/>
    <w:rsid w:val="00026A67"/>
    <w:rsid w:val="000275F2"/>
    <w:rsid w:val="000317A4"/>
    <w:rsid w:val="00032AE9"/>
    <w:rsid w:val="00032E1C"/>
    <w:rsid w:val="00032FDE"/>
    <w:rsid w:val="00034220"/>
    <w:rsid w:val="00035503"/>
    <w:rsid w:val="00035990"/>
    <w:rsid w:val="00035AC4"/>
    <w:rsid w:val="0003659E"/>
    <w:rsid w:val="000368B7"/>
    <w:rsid w:val="0004025D"/>
    <w:rsid w:val="0004055F"/>
    <w:rsid w:val="00042852"/>
    <w:rsid w:val="00043DD6"/>
    <w:rsid w:val="00043EEA"/>
    <w:rsid w:val="0004471B"/>
    <w:rsid w:val="000456E3"/>
    <w:rsid w:val="00045815"/>
    <w:rsid w:val="00047198"/>
    <w:rsid w:val="00050770"/>
    <w:rsid w:val="000527F1"/>
    <w:rsid w:val="00053614"/>
    <w:rsid w:val="000545E4"/>
    <w:rsid w:val="00054C9F"/>
    <w:rsid w:val="00054E9C"/>
    <w:rsid w:val="0005506D"/>
    <w:rsid w:val="00055134"/>
    <w:rsid w:val="00055B13"/>
    <w:rsid w:val="000565FF"/>
    <w:rsid w:val="00057057"/>
    <w:rsid w:val="000576EF"/>
    <w:rsid w:val="000601BE"/>
    <w:rsid w:val="0006156C"/>
    <w:rsid w:val="00061CF2"/>
    <w:rsid w:val="00061E0A"/>
    <w:rsid w:val="0006246A"/>
    <w:rsid w:val="00064A87"/>
    <w:rsid w:val="00064CFC"/>
    <w:rsid w:val="00064F80"/>
    <w:rsid w:val="00065092"/>
    <w:rsid w:val="000650A1"/>
    <w:rsid w:val="000664D7"/>
    <w:rsid w:val="00066EEF"/>
    <w:rsid w:val="0006719F"/>
    <w:rsid w:val="00067FE9"/>
    <w:rsid w:val="0007082B"/>
    <w:rsid w:val="00071561"/>
    <w:rsid w:val="0007171F"/>
    <w:rsid w:val="00071E9F"/>
    <w:rsid w:val="000722F7"/>
    <w:rsid w:val="00073C30"/>
    <w:rsid w:val="00074B2D"/>
    <w:rsid w:val="00075DE0"/>
    <w:rsid w:val="000763FE"/>
    <w:rsid w:val="000764EC"/>
    <w:rsid w:val="00076DDB"/>
    <w:rsid w:val="000817BF"/>
    <w:rsid w:val="00083B32"/>
    <w:rsid w:val="00084DED"/>
    <w:rsid w:val="00085D17"/>
    <w:rsid w:val="00086543"/>
    <w:rsid w:val="00091238"/>
    <w:rsid w:val="00093088"/>
    <w:rsid w:val="00094186"/>
    <w:rsid w:val="00096398"/>
    <w:rsid w:val="000970B0"/>
    <w:rsid w:val="00097A6A"/>
    <w:rsid w:val="000A1152"/>
    <w:rsid w:val="000A236C"/>
    <w:rsid w:val="000A2BF1"/>
    <w:rsid w:val="000A2FE0"/>
    <w:rsid w:val="000A4536"/>
    <w:rsid w:val="000A57B4"/>
    <w:rsid w:val="000A5F5F"/>
    <w:rsid w:val="000A62AE"/>
    <w:rsid w:val="000B1390"/>
    <w:rsid w:val="000B1BE4"/>
    <w:rsid w:val="000B3602"/>
    <w:rsid w:val="000B4475"/>
    <w:rsid w:val="000B5D64"/>
    <w:rsid w:val="000B7282"/>
    <w:rsid w:val="000B7E8E"/>
    <w:rsid w:val="000C0E62"/>
    <w:rsid w:val="000C2D28"/>
    <w:rsid w:val="000C30C8"/>
    <w:rsid w:val="000C3CE2"/>
    <w:rsid w:val="000C5BEF"/>
    <w:rsid w:val="000C6094"/>
    <w:rsid w:val="000C7B63"/>
    <w:rsid w:val="000D0C5D"/>
    <w:rsid w:val="000D1A30"/>
    <w:rsid w:val="000D1A46"/>
    <w:rsid w:val="000D1B42"/>
    <w:rsid w:val="000D34D3"/>
    <w:rsid w:val="000D4177"/>
    <w:rsid w:val="000D5064"/>
    <w:rsid w:val="000D5AFF"/>
    <w:rsid w:val="000D78C4"/>
    <w:rsid w:val="000E072E"/>
    <w:rsid w:val="000E09D2"/>
    <w:rsid w:val="000E10FE"/>
    <w:rsid w:val="000E116C"/>
    <w:rsid w:val="000E1840"/>
    <w:rsid w:val="000E2CD6"/>
    <w:rsid w:val="000E2CE9"/>
    <w:rsid w:val="000E33C8"/>
    <w:rsid w:val="000E382C"/>
    <w:rsid w:val="000E41B3"/>
    <w:rsid w:val="000E6B84"/>
    <w:rsid w:val="000F0199"/>
    <w:rsid w:val="000F0944"/>
    <w:rsid w:val="000F2A21"/>
    <w:rsid w:val="000F5DCC"/>
    <w:rsid w:val="000F6324"/>
    <w:rsid w:val="000F64CA"/>
    <w:rsid w:val="000F743A"/>
    <w:rsid w:val="000F7641"/>
    <w:rsid w:val="001004EE"/>
    <w:rsid w:val="0010192C"/>
    <w:rsid w:val="00101976"/>
    <w:rsid w:val="001020D7"/>
    <w:rsid w:val="00102F72"/>
    <w:rsid w:val="00103CDD"/>
    <w:rsid w:val="00105265"/>
    <w:rsid w:val="001052E7"/>
    <w:rsid w:val="00105E0C"/>
    <w:rsid w:val="00106EAA"/>
    <w:rsid w:val="00110711"/>
    <w:rsid w:val="001125DE"/>
    <w:rsid w:val="001133F4"/>
    <w:rsid w:val="00113D66"/>
    <w:rsid w:val="00115885"/>
    <w:rsid w:val="00116909"/>
    <w:rsid w:val="00117661"/>
    <w:rsid w:val="001203BB"/>
    <w:rsid w:val="00120465"/>
    <w:rsid w:val="001217BF"/>
    <w:rsid w:val="001217D0"/>
    <w:rsid w:val="00121FBD"/>
    <w:rsid w:val="00122FE2"/>
    <w:rsid w:val="00123337"/>
    <w:rsid w:val="001235CB"/>
    <w:rsid w:val="001249BD"/>
    <w:rsid w:val="00124AED"/>
    <w:rsid w:val="00125715"/>
    <w:rsid w:val="00125D88"/>
    <w:rsid w:val="001267C0"/>
    <w:rsid w:val="00134B7C"/>
    <w:rsid w:val="0013709B"/>
    <w:rsid w:val="00137FA3"/>
    <w:rsid w:val="00140376"/>
    <w:rsid w:val="00140AF4"/>
    <w:rsid w:val="0014173E"/>
    <w:rsid w:val="00142E70"/>
    <w:rsid w:val="0014586D"/>
    <w:rsid w:val="0014698E"/>
    <w:rsid w:val="00147CC1"/>
    <w:rsid w:val="0015012A"/>
    <w:rsid w:val="0015074C"/>
    <w:rsid w:val="00150A9E"/>
    <w:rsid w:val="00150B58"/>
    <w:rsid w:val="00150E6F"/>
    <w:rsid w:val="0015102B"/>
    <w:rsid w:val="001519E0"/>
    <w:rsid w:val="00151D05"/>
    <w:rsid w:val="00151D0F"/>
    <w:rsid w:val="001520C2"/>
    <w:rsid w:val="00152592"/>
    <w:rsid w:val="00153150"/>
    <w:rsid w:val="0015449D"/>
    <w:rsid w:val="0015659B"/>
    <w:rsid w:val="00157915"/>
    <w:rsid w:val="00161676"/>
    <w:rsid w:val="00163676"/>
    <w:rsid w:val="00163901"/>
    <w:rsid w:val="00163AAC"/>
    <w:rsid w:val="00164941"/>
    <w:rsid w:val="001668D9"/>
    <w:rsid w:val="00166C00"/>
    <w:rsid w:val="001674A2"/>
    <w:rsid w:val="0016780E"/>
    <w:rsid w:val="001702FF"/>
    <w:rsid w:val="001703A2"/>
    <w:rsid w:val="001705F1"/>
    <w:rsid w:val="001733A6"/>
    <w:rsid w:val="001745D9"/>
    <w:rsid w:val="001749DA"/>
    <w:rsid w:val="001778A2"/>
    <w:rsid w:val="00181F35"/>
    <w:rsid w:val="001821B8"/>
    <w:rsid w:val="00182466"/>
    <w:rsid w:val="001827B2"/>
    <w:rsid w:val="0018335F"/>
    <w:rsid w:val="00186F16"/>
    <w:rsid w:val="00187B08"/>
    <w:rsid w:val="00187DB6"/>
    <w:rsid w:val="00190477"/>
    <w:rsid w:val="00193F55"/>
    <w:rsid w:val="00197058"/>
    <w:rsid w:val="0019749B"/>
    <w:rsid w:val="00197C5B"/>
    <w:rsid w:val="00197C8B"/>
    <w:rsid w:val="001A0343"/>
    <w:rsid w:val="001A0536"/>
    <w:rsid w:val="001A187A"/>
    <w:rsid w:val="001A19C6"/>
    <w:rsid w:val="001A227B"/>
    <w:rsid w:val="001A2C7E"/>
    <w:rsid w:val="001A3EB7"/>
    <w:rsid w:val="001A471F"/>
    <w:rsid w:val="001A4F9E"/>
    <w:rsid w:val="001A5A46"/>
    <w:rsid w:val="001A7215"/>
    <w:rsid w:val="001A7EB6"/>
    <w:rsid w:val="001B00C3"/>
    <w:rsid w:val="001B0644"/>
    <w:rsid w:val="001B0A87"/>
    <w:rsid w:val="001B316E"/>
    <w:rsid w:val="001B38EF"/>
    <w:rsid w:val="001B5233"/>
    <w:rsid w:val="001B5A62"/>
    <w:rsid w:val="001B5D0D"/>
    <w:rsid w:val="001B688A"/>
    <w:rsid w:val="001C0FDD"/>
    <w:rsid w:val="001C163E"/>
    <w:rsid w:val="001C18C7"/>
    <w:rsid w:val="001C1D69"/>
    <w:rsid w:val="001C3385"/>
    <w:rsid w:val="001C3C4D"/>
    <w:rsid w:val="001C6E53"/>
    <w:rsid w:val="001D141A"/>
    <w:rsid w:val="001D1B4A"/>
    <w:rsid w:val="001D2DE2"/>
    <w:rsid w:val="001D31C3"/>
    <w:rsid w:val="001D40B6"/>
    <w:rsid w:val="001D422A"/>
    <w:rsid w:val="001D6B93"/>
    <w:rsid w:val="001D6C16"/>
    <w:rsid w:val="001E1089"/>
    <w:rsid w:val="001E2732"/>
    <w:rsid w:val="001E2BAE"/>
    <w:rsid w:val="001E4EDC"/>
    <w:rsid w:val="001E4F65"/>
    <w:rsid w:val="001E5037"/>
    <w:rsid w:val="001E76C5"/>
    <w:rsid w:val="001E77B3"/>
    <w:rsid w:val="001F0167"/>
    <w:rsid w:val="001F1D66"/>
    <w:rsid w:val="001F34A9"/>
    <w:rsid w:val="001F369B"/>
    <w:rsid w:val="001F53A6"/>
    <w:rsid w:val="001F75CB"/>
    <w:rsid w:val="001F7E6E"/>
    <w:rsid w:val="002015B4"/>
    <w:rsid w:val="002027F7"/>
    <w:rsid w:val="00204051"/>
    <w:rsid w:val="002049F6"/>
    <w:rsid w:val="00205415"/>
    <w:rsid w:val="00205424"/>
    <w:rsid w:val="00205ABE"/>
    <w:rsid w:val="00207579"/>
    <w:rsid w:val="00207F54"/>
    <w:rsid w:val="00211C11"/>
    <w:rsid w:val="0021258C"/>
    <w:rsid w:val="00213607"/>
    <w:rsid w:val="00213CDC"/>
    <w:rsid w:val="00214492"/>
    <w:rsid w:val="0021479F"/>
    <w:rsid w:val="00214C3F"/>
    <w:rsid w:val="00214D5D"/>
    <w:rsid w:val="0021503C"/>
    <w:rsid w:val="00215E87"/>
    <w:rsid w:val="002176D8"/>
    <w:rsid w:val="00222A5D"/>
    <w:rsid w:val="00223D38"/>
    <w:rsid w:val="00224D8E"/>
    <w:rsid w:val="00225AC1"/>
    <w:rsid w:val="002310F0"/>
    <w:rsid w:val="0023276D"/>
    <w:rsid w:val="00232C3A"/>
    <w:rsid w:val="002355AB"/>
    <w:rsid w:val="0023615F"/>
    <w:rsid w:val="00236330"/>
    <w:rsid w:val="002370D0"/>
    <w:rsid w:val="00240777"/>
    <w:rsid w:val="00240E86"/>
    <w:rsid w:val="00244A76"/>
    <w:rsid w:val="002455AA"/>
    <w:rsid w:val="00246360"/>
    <w:rsid w:val="002466FA"/>
    <w:rsid w:val="0024678D"/>
    <w:rsid w:val="00247524"/>
    <w:rsid w:val="002546A7"/>
    <w:rsid w:val="002558E3"/>
    <w:rsid w:val="0025591F"/>
    <w:rsid w:val="00255AB8"/>
    <w:rsid w:val="0025689D"/>
    <w:rsid w:val="00256E13"/>
    <w:rsid w:val="00257FE8"/>
    <w:rsid w:val="0026132D"/>
    <w:rsid w:val="00265F64"/>
    <w:rsid w:val="00266736"/>
    <w:rsid w:val="002668FB"/>
    <w:rsid w:val="00266B13"/>
    <w:rsid w:val="00266B69"/>
    <w:rsid w:val="00266C9C"/>
    <w:rsid w:val="00270982"/>
    <w:rsid w:val="00270C13"/>
    <w:rsid w:val="00271FF5"/>
    <w:rsid w:val="002737C8"/>
    <w:rsid w:val="00274AF8"/>
    <w:rsid w:val="00275072"/>
    <w:rsid w:val="0028125F"/>
    <w:rsid w:val="002826AF"/>
    <w:rsid w:val="002831DD"/>
    <w:rsid w:val="0028395D"/>
    <w:rsid w:val="00283B50"/>
    <w:rsid w:val="00283C04"/>
    <w:rsid w:val="00285C38"/>
    <w:rsid w:val="00285E68"/>
    <w:rsid w:val="002861E4"/>
    <w:rsid w:val="0028629F"/>
    <w:rsid w:val="00286CCA"/>
    <w:rsid w:val="00286EBD"/>
    <w:rsid w:val="00287B22"/>
    <w:rsid w:val="002900C3"/>
    <w:rsid w:val="00292541"/>
    <w:rsid w:val="00293243"/>
    <w:rsid w:val="00293D2E"/>
    <w:rsid w:val="002945D6"/>
    <w:rsid w:val="00296244"/>
    <w:rsid w:val="002966EE"/>
    <w:rsid w:val="002A032C"/>
    <w:rsid w:val="002A0714"/>
    <w:rsid w:val="002A0A2E"/>
    <w:rsid w:val="002A1CA4"/>
    <w:rsid w:val="002A22A4"/>
    <w:rsid w:val="002A34E6"/>
    <w:rsid w:val="002A3F66"/>
    <w:rsid w:val="002A506A"/>
    <w:rsid w:val="002A521F"/>
    <w:rsid w:val="002A53B5"/>
    <w:rsid w:val="002B246A"/>
    <w:rsid w:val="002B2F77"/>
    <w:rsid w:val="002B322C"/>
    <w:rsid w:val="002B3FDA"/>
    <w:rsid w:val="002B4D5C"/>
    <w:rsid w:val="002B6CA5"/>
    <w:rsid w:val="002C1126"/>
    <w:rsid w:val="002C156E"/>
    <w:rsid w:val="002C39C9"/>
    <w:rsid w:val="002C3C52"/>
    <w:rsid w:val="002C6451"/>
    <w:rsid w:val="002C73C1"/>
    <w:rsid w:val="002C76B6"/>
    <w:rsid w:val="002D12D8"/>
    <w:rsid w:val="002D1962"/>
    <w:rsid w:val="002D1CE3"/>
    <w:rsid w:val="002D2523"/>
    <w:rsid w:val="002D2BDF"/>
    <w:rsid w:val="002D43DF"/>
    <w:rsid w:val="002D46E0"/>
    <w:rsid w:val="002D5EFC"/>
    <w:rsid w:val="002D6A1B"/>
    <w:rsid w:val="002D7C67"/>
    <w:rsid w:val="002E1AEF"/>
    <w:rsid w:val="002E22D4"/>
    <w:rsid w:val="002E3177"/>
    <w:rsid w:val="002E34DE"/>
    <w:rsid w:val="002E4EF3"/>
    <w:rsid w:val="002E5647"/>
    <w:rsid w:val="002E714A"/>
    <w:rsid w:val="002E7A8E"/>
    <w:rsid w:val="002F10B1"/>
    <w:rsid w:val="002F3169"/>
    <w:rsid w:val="002F326D"/>
    <w:rsid w:val="002F548F"/>
    <w:rsid w:val="002F58CE"/>
    <w:rsid w:val="002F5962"/>
    <w:rsid w:val="002F59FD"/>
    <w:rsid w:val="002F5A1B"/>
    <w:rsid w:val="002F5D6A"/>
    <w:rsid w:val="002F6212"/>
    <w:rsid w:val="002F62B3"/>
    <w:rsid w:val="002F65B1"/>
    <w:rsid w:val="002F6910"/>
    <w:rsid w:val="002F7A7D"/>
    <w:rsid w:val="00300CB2"/>
    <w:rsid w:val="00301432"/>
    <w:rsid w:val="00302236"/>
    <w:rsid w:val="00302256"/>
    <w:rsid w:val="00302841"/>
    <w:rsid w:val="00302955"/>
    <w:rsid w:val="00303702"/>
    <w:rsid w:val="003040EF"/>
    <w:rsid w:val="00304335"/>
    <w:rsid w:val="003043EA"/>
    <w:rsid w:val="00305712"/>
    <w:rsid w:val="00305822"/>
    <w:rsid w:val="003066DC"/>
    <w:rsid w:val="00307DBF"/>
    <w:rsid w:val="00310650"/>
    <w:rsid w:val="00311DB3"/>
    <w:rsid w:val="0031285D"/>
    <w:rsid w:val="00313118"/>
    <w:rsid w:val="00314346"/>
    <w:rsid w:val="00315156"/>
    <w:rsid w:val="003159D4"/>
    <w:rsid w:val="00315AC4"/>
    <w:rsid w:val="0031664B"/>
    <w:rsid w:val="00316676"/>
    <w:rsid w:val="0031732B"/>
    <w:rsid w:val="00320407"/>
    <w:rsid w:val="00320E52"/>
    <w:rsid w:val="00320F1F"/>
    <w:rsid w:val="00321E3C"/>
    <w:rsid w:val="003221DB"/>
    <w:rsid w:val="00322DE4"/>
    <w:rsid w:val="00324E03"/>
    <w:rsid w:val="00324FFE"/>
    <w:rsid w:val="00325CE9"/>
    <w:rsid w:val="00325EF9"/>
    <w:rsid w:val="00327F7F"/>
    <w:rsid w:val="00331844"/>
    <w:rsid w:val="00332190"/>
    <w:rsid w:val="00332B2D"/>
    <w:rsid w:val="00333852"/>
    <w:rsid w:val="0033632F"/>
    <w:rsid w:val="003369BD"/>
    <w:rsid w:val="00337F62"/>
    <w:rsid w:val="00340E67"/>
    <w:rsid w:val="003410D0"/>
    <w:rsid w:val="003412AD"/>
    <w:rsid w:val="00341935"/>
    <w:rsid w:val="00342D4B"/>
    <w:rsid w:val="003441FB"/>
    <w:rsid w:val="00344CFE"/>
    <w:rsid w:val="00345300"/>
    <w:rsid w:val="00346BD2"/>
    <w:rsid w:val="0035000A"/>
    <w:rsid w:val="00350C20"/>
    <w:rsid w:val="0035219A"/>
    <w:rsid w:val="00352403"/>
    <w:rsid w:val="00353A55"/>
    <w:rsid w:val="003574EA"/>
    <w:rsid w:val="00357691"/>
    <w:rsid w:val="00360C8E"/>
    <w:rsid w:val="003613D0"/>
    <w:rsid w:val="0036153D"/>
    <w:rsid w:val="00362C93"/>
    <w:rsid w:val="00362F64"/>
    <w:rsid w:val="00364AF7"/>
    <w:rsid w:val="00365A4B"/>
    <w:rsid w:val="00365C80"/>
    <w:rsid w:val="003661C4"/>
    <w:rsid w:val="00366BED"/>
    <w:rsid w:val="00366D0C"/>
    <w:rsid w:val="00370716"/>
    <w:rsid w:val="0037139B"/>
    <w:rsid w:val="003734EB"/>
    <w:rsid w:val="003737D5"/>
    <w:rsid w:val="00373D52"/>
    <w:rsid w:val="00373E67"/>
    <w:rsid w:val="0037494D"/>
    <w:rsid w:val="00375C63"/>
    <w:rsid w:val="00375FDC"/>
    <w:rsid w:val="003775AE"/>
    <w:rsid w:val="0037765E"/>
    <w:rsid w:val="0038001F"/>
    <w:rsid w:val="0038033C"/>
    <w:rsid w:val="00380E1C"/>
    <w:rsid w:val="00381488"/>
    <w:rsid w:val="00383C77"/>
    <w:rsid w:val="0038432D"/>
    <w:rsid w:val="0038480C"/>
    <w:rsid w:val="0038538E"/>
    <w:rsid w:val="00386CEA"/>
    <w:rsid w:val="00390482"/>
    <w:rsid w:val="003905ED"/>
    <w:rsid w:val="00390AD9"/>
    <w:rsid w:val="00390DDA"/>
    <w:rsid w:val="00392FC9"/>
    <w:rsid w:val="00395221"/>
    <w:rsid w:val="0039549F"/>
    <w:rsid w:val="00395E4A"/>
    <w:rsid w:val="003971F7"/>
    <w:rsid w:val="003A141A"/>
    <w:rsid w:val="003A30F3"/>
    <w:rsid w:val="003A3498"/>
    <w:rsid w:val="003A3CC6"/>
    <w:rsid w:val="003A3D39"/>
    <w:rsid w:val="003A407B"/>
    <w:rsid w:val="003A49B1"/>
    <w:rsid w:val="003A5502"/>
    <w:rsid w:val="003A5BEF"/>
    <w:rsid w:val="003A764C"/>
    <w:rsid w:val="003B35F6"/>
    <w:rsid w:val="003B4BE8"/>
    <w:rsid w:val="003B4E2F"/>
    <w:rsid w:val="003B547C"/>
    <w:rsid w:val="003B57C0"/>
    <w:rsid w:val="003B58E0"/>
    <w:rsid w:val="003B6792"/>
    <w:rsid w:val="003B781E"/>
    <w:rsid w:val="003B79E2"/>
    <w:rsid w:val="003B7E1A"/>
    <w:rsid w:val="003C0739"/>
    <w:rsid w:val="003C0B0F"/>
    <w:rsid w:val="003C0F0C"/>
    <w:rsid w:val="003C20C0"/>
    <w:rsid w:val="003C30DD"/>
    <w:rsid w:val="003C32FA"/>
    <w:rsid w:val="003C4369"/>
    <w:rsid w:val="003C5DF5"/>
    <w:rsid w:val="003C6233"/>
    <w:rsid w:val="003C7CC1"/>
    <w:rsid w:val="003D0F3C"/>
    <w:rsid w:val="003D13E1"/>
    <w:rsid w:val="003D2C13"/>
    <w:rsid w:val="003D3794"/>
    <w:rsid w:val="003D4728"/>
    <w:rsid w:val="003D4B79"/>
    <w:rsid w:val="003D5431"/>
    <w:rsid w:val="003D5A2F"/>
    <w:rsid w:val="003D5E10"/>
    <w:rsid w:val="003D602B"/>
    <w:rsid w:val="003D659A"/>
    <w:rsid w:val="003E00D0"/>
    <w:rsid w:val="003E56B5"/>
    <w:rsid w:val="003F14AF"/>
    <w:rsid w:val="003F1C9C"/>
    <w:rsid w:val="003F4263"/>
    <w:rsid w:val="003F4E07"/>
    <w:rsid w:val="003F5AED"/>
    <w:rsid w:val="003F6291"/>
    <w:rsid w:val="003F7321"/>
    <w:rsid w:val="003F7695"/>
    <w:rsid w:val="003F7837"/>
    <w:rsid w:val="003F7CAC"/>
    <w:rsid w:val="003F7D4F"/>
    <w:rsid w:val="0040034F"/>
    <w:rsid w:val="004019EA"/>
    <w:rsid w:val="00401D70"/>
    <w:rsid w:val="004020E5"/>
    <w:rsid w:val="00403612"/>
    <w:rsid w:val="00403E21"/>
    <w:rsid w:val="0040531A"/>
    <w:rsid w:val="0040782C"/>
    <w:rsid w:val="00407A71"/>
    <w:rsid w:val="00407F3C"/>
    <w:rsid w:val="00411456"/>
    <w:rsid w:val="0041200C"/>
    <w:rsid w:val="0041226A"/>
    <w:rsid w:val="0041246F"/>
    <w:rsid w:val="00412D75"/>
    <w:rsid w:val="00412DF2"/>
    <w:rsid w:val="004133B2"/>
    <w:rsid w:val="0041387E"/>
    <w:rsid w:val="00414574"/>
    <w:rsid w:val="004150D9"/>
    <w:rsid w:val="00415F3F"/>
    <w:rsid w:val="00416EFD"/>
    <w:rsid w:val="00417184"/>
    <w:rsid w:val="00420C84"/>
    <w:rsid w:val="00421471"/>
    <w:rsid w:val="004217CD"/>
    <w:rsid w:val="00421C91"/>
    <w:rsid w:val="00421CE2"/>
    <w:rsid w:val="00421F11"/>
    <w:rsid w:val="00421FA8"/>
    <w:rsid w:val="004224D7"/>
    <w:rsid w:val="0042493E"/>
    <w:rsid w:val="0042660E"/>
    <w:rsid w:val="004270B6"/>
    <w:rsid w:val="00430661"/>
    <w:rsid w:val="00432074"/>
    <w:rsid w:val="00432723"/>
    <w:rsid w:val="00433237"/>
    <w:rsid w:val="00433461"/>
    <w:rsid w:val="004341CB"/>
    <w:rsid w:val="00434264"/>
    <w:rsid w:val="00434C19"/>
    <w:rsid w:val="00435931"/>
    <w:rsid w:val="00436CD3"/>
    <w:rsid w:val="00440166"/>
    <w:rsid w:val="00441005"/>
    <w:rsid w:val="00442A8E"/>
    <w:rsid w:val="00442CBD"/>
    <w:rsid w:val="00443300"/>
    <w:rsid w:val="00443742"/>
    <w:rsid w:val="00443BCC"/>
    <w:rsid w:val="004451D8"/>
    <w:rsid w:val="004454BF"/>
    <w:rsid w:val="00446CA4"/>
    <w:rsid w:val="0045006A"/>
    <w:rsid w:val="004505C1"/>
    <w:rsid w:val="00450E6A"/>
    <w:rsid w:val="00451653"/>
    <w:rsid w:val="00452797"/>
    <w:rsid w:val="004539C3"/>
    <w:rsid w:val="004572B5"/>
    <w:rsid w:val="00457B03"/>
    <w:rsid w:val="00460043"/>
    <w:rsid w:val="00460DA5"/>
    <w:rsid w:val="004615A1"/>
    <w:rsid w:val="00461779"/>
    <w:rsid w:val="00461927"/>
    <w:rsid w:val="00464C71"/>
    <w:rsid w:val="004652F7"/>
    <w:rsid w:val="00465B66"/>
    <w:rsid w:val="00467CFB"/>
    <w:rsid w:val="0047051E"/>
    <w:rsid w:val="00470FCC"/>
    <w:rsid w:val="00471379"/>
    <w:rsid w:val="00471AAB"/>
    <w:rsid w:val="00473755"/>
    <w:rsid w:val="004748BC"/>
    <w:rsid w:val="004772F2"/>
    <w:rsid w:val="0047765B"/>
    <w:rsid w:val="00477FDE"/>
    <w:rsid w:val="004808EE"/>
    <w:rsid w:val="00482B3B"/>
    <w:rsid w:val="0048538A"/>
    <w:rsid w:val="004853F3"/>
    <w:rsid w:val="004854BE"/>
    <w:rsid w:val="0048666D"/>
    <w:rsid w:val="00486A9C"/>
    <w:rsid w:val="004870A1"/>
    <w:rsid w:val="00487290"/>
    <w:rsid w:val="004874F7"/>
    <w:rsid w:val="004875D0"/>
    <w:rsid w:val="00490DDB"/>
    <w:rsid w:val="0049191F"/>
    <w:rsid w:val="0049378A"/>
    <w:rsid w:val="00493B0B"/>
    <w:rsid w:val="00493E37"/>
    <w:rsid w:val="00495434"/>
    <w:rsid w:val="00496424"/>
    <w:rsid w:val="004964BD"/>
    <w:rsid w:val="00497C6C"/>
    <w:rsid w:val="004A0C4A"/>
    <w:rsid w:val="004A0E79"/>
    <w:rsid w:val="004A0F88"/>
    <w:rsid w:val="004A11F1"/>
    <w:rsid w:val="004A2E0C"/>
    <w:rsid w:val="004A342C"/>
    <w:rsid w:val="004A3E85"/>
    <w:rsid w:val="004A492F"/>
    <w:rsid w:val="004A75AC"/>
    <w:rsid w:val="004A765D"/>
    <w:rsid w:val="004B16C9"/>
    <w:rsid w:val="004B2C78"/>
    <w:rsid w:val="004B305C"/>
    <w:rsid w:val="004B398F"/>
    <w:rsid w:val="004B41B0"/>
    <w:rsid w:val="004B4C57"/>
    <w:rsid w:val="004B6176"/>
    <w:rsid w:val="004B65AC"/>
    <w:rsid w:val="004B6BEC"/>
    <w:rsid w:val="004C0D4A"/>
    <w:rsid w:val="004C1E6A"/>
    <w:rsid w:val="004C3708"/>
    <w:rsid w:val="004C3C3C"/>
    <w:rsid w:val="004C3D7A"/>
    <w:rsid w:val="004C42D2"/>
    <w:rsid w:val="004C441F"/>
    <w:rsid w:val="004C4A2D"/>
    <w:rsid w:val="004C5351"/>
    <w:rsid w:val="004D0C9F"/>
    <w:rsid w:val="004D1754"/>
    <w:rsid w:val="004D1A39"/>
    <w:rsid w:val="004D28A1"/>
    <w:rsid w:val="004D301E"/>
    <w:rsid w:val="004D38E4"/>
    <w:rsid w:val="004E0D7E"/>
    <w:rsid w:val="004E10DB"/>
    <w:rsid w:val="004E1BEB"/>
    <w:rsid w:val="004E23D5"/>
    <w:rsid w:val="004E260C"/>
    <w:rsid w:val="004E26EF"/>
    <w:rsid w:val="004E309B"/>
    <w:rsid w:val="004E369C"/>
    <w:rsid w:val="004E44D1"/>
    <w:rsid w:val="004E4847"/>
    <w:rsid w:val="004E56CE"/>
    <w:rsid w:val="004E63C8"/>
    <w:rsid w:val="004E6D00"/>
    <w:rsid w:val="004E78DD"/>
    <w:rsid w:val="004F166E"/>
    <w:rsid w:val="004F1A1E"/>
    <w:rsid w:val="004F22A4"/>
    <w:rsid w:val="004F271D"/>
    <w:rsid w:val="004F2BC3"/>
    <w:rsid w:val="004F32A2"/>
    <w:rsid w:val="004F3AEA"/>
    <w:rsid w:val="004F3D9D"/>
    <w:rsid w:val="004F3DC3"/>
    <w:rsid w:val="004F40DD"/>
    <w:rsid w:val="004F4C87"/>
    <w:rsid w:val="004F693B"/>
    <w:rsid w:val="004F7C67"/>
    <w:rsid w:val="005018FB"/>
    <w:rsid w:val="005019C5"/>
    <w:rsid w:val="005019E9"/>
    <w:rsid w:val="0050323F"/>
    <w:rsid w:val="0050335C"/>
    <w:rsid w:val="0050478E"/>
    <w:rsid w:val="00505263"/>
    <w:rsid w:val="0050529C"/>
    <w:rsid w:val="005053A1"/>
    <w:rsid w:val="005059AE"/>
    <w:rsid w:val="0050765E"/>
    <w:rsid w:val="00510123"/>
    <w:rsid w:val="00510332"/>
    <w:rsid w:val="005103CC"/>
    <w:rsid w:val="00510946"/>
    <w:rsid w:val="0051123E"/>
    <w:rsid w:val="00512A8B"/>
    <w:rsid w:val="005160C9"/>
    <w:rsid w:val="00517785"/>
    <w:rsid w:val="00520EC1"/>
    <w:rsid w:val="00521515"/>
    <w:rsid w:val="00521933"/>
    <w:rsid w:val="00522F3D"/>
    <w:rsid w:val="0052700F"/>
    <w:rsid w:val="00527662"/>
    <w:rsid w:val="005276AE"/>
    <w:rsid w:val="00527E69"/>
    <w:rsid w:val="00533CDA"/>
    <w:rsid w:val="00534F25"/>
    <w:rsid w:val="00537D01"/>
    <w:rsid w:val="00540FAC"/>
    <w:rsid w:val="00543E45"/>
    <w:rsid w:val="00543E5C"/>
    <w:rsid w:val="0054430B"/>
    <w:rsid w:val="00544A15"/>
    <w:rsid w:val="00544E42"/>
    <w:rsid w:val="00545CBF"/>
    <w:rsid w:val="005465BA"/>
    <w:rsid w:val="00547F83"/>
    <w:rsid w:val="00551C39"/>
    <w:rsid w:val="00552DB2"/>
    <w:rsid w:val="005533B1"/>
    <w:rsid w:val="00554B45"/>
    <w:rsid w:val="005561C4"/>
    <w:rsid w:val="005568C6"/>
    <w:rsid w:val="00557C40"/>
    <w:rsid w:val="0056024C"/>
    <w:rsid w:val="00560433"/>
    <w:rsid w:val="0056163D"/>
    <w:rsid w:val="0056250A"/>
    <w:rsid w:val="00562807"/>
    <w:rsid w:val="0056365F"/>
    <w:rsid w:val="00563A67"/>
    <w:rsid w:val="0056673D"/>
    <w:rsid w:val="00566E16"/>
    <w:rsid w:val="00570F2D"/>
    <w:rsid w:val="00572651"/>
    <w:rsid w:val="0057627C"/>
    <w:rsid w:val="005762A2"/>
    <w:rsid w:val="00576F89"/>
    <w:rsid w:val="00580447"/>
    <w:rsid w:val="00581682"/>
    <w:rsid w:val="00582079"/>
    <w:rsid w:val="00582724"/>
    <w:rsid w:val="005857FD"/>
    <w:rsid w:val="00585B57"/>
    <w:rsid w:val="00585EDE"/>
    <w:rsid w:val="00587FA3"/>
    <w:rsid w:val="00590DDF"/>
    <w:rsid w:val="00593184"/>
    <w:rsid w:val="0059351B"/>
    <w:rsid w:val="00595348"/>
    <w:rsid w:val="005954C4"/>
    <w:rsid w:val="005A0226"/>
    <w:rsid w:val="005A0278"/>
    <w:rsid w:val="005A1603"/>
    <w:rsid w:val="005A1728"/>
    <w:rsid w:val="005A1DB7"/>
    <w:rsid w:val="005A2C67"/>
    <w:rsid w:val="005A3521"/>
    <w:rsid w:val="005A4075"/>
    <w:rsid w:val="005A4423"/>
    <w:rsid w:val="005A4B3D"/>
    <w:rsid w:val="005A54AB"/>
    <w:rsid w:val="005A6420"/>
    <w:rsid w:val="005B01C1"/>
    <w:rsid w:val="005B0839"/>
    <w:rsid w:val="005B2200"/>
    <w:rsid w:val="005B2333"/>
    <w:rsid w:val="005B2787"/>
    <w:rsid w:val="005B2CA7"/>
    <w:rsid w:val="005B4656"/>
    <w:rsid w:val="005B4AE4"/>
    <w:rsid w:val="005B6C0F"/>
    <w:rsid w:val="005C010D"/>
    <w:rsid w:val="005C1212"/>
    <w:rsid w:val="005C2AC9"/>
    <w:rsid w:val="005C3B54"/>
    <w:rsid w:val="005C549F"/>
    <w:rsid w:val="005C6AAF"/>
    <w:rsid w:val="005D0E6B"/>
    <w:rsid w:val="005D1129"/>
    <w:rsid w:val="005D1615"/>
    <w:rsid w:val="005D1D19"/>
    <w:rsid w:val="005D1D34"/>
    <w:rsid w:val="005D2970"/>
    <w:rsid w:val="005D2B70"/>
    <w:rsid w:val="005D361D"/>
    <w:rsid w:val="005D4F65"/>
    <w:rsid w:val="005D5B69"/>
    <w:rsid w:val="005D661E"/>
    <w:rsid w:val="005D78E4"/>
    <w:rsid w:val="005E1503"/>
    <w:rsid w:val="005E1A75"/>
    <w:rsid w:val="005E4B8A"/>
    <w:rsid w:val="005E695D"/>
    <w:rsid w:val="005E6B99"/>
    <w:rsid w:val="005F0C2C"/>
    <w:rsid w:val="005F0D70"/>
    <w:rsid w:val="005F10A3"/>
    <w:rsid w:val="005F13DC"/>
    <w:rsid w:val="005F170B"/>
    <w:rsid w:val="005F1A15"/>
    <w:rsid w:val="005F3756"/>
    <w:rsid w:val="005F4566"/>
    <w:rsid w:val="005F4731"/>
    <w:rsid w:val="005F5440"/>
    <w:rsid w:val="005F623D"/>
    <w:rsid w:val="005F683A"/>
    <w:rsid w:val="005F7B19"/>
    <w:rsid w:val="005F7E8A"/>
    <w:rsid w:val="005F7F2E"/>
    <w:rsid w:val="006013B4"/>
    <w:rsid w:val="00602081"/>
    <w:rsid w:val="00602EA6"/>
    <w:rsid w:val="00602F56"/>
    <w:rsid w:val="00603F1C"/>
    <w:rsid w:val="00604286"/>
    <w:rsid w:val="00607AA6"/>
    <w:rsid w:val="00611D00"/>
    <w:rsid w:val="00611FC5"/>
    <w:rsid w:val="00612473"/>
    <w:rsid w:val="00612E05"/>
    <w:rsid w:val="0061301E"/>
    <w:rsid w:val="00614E97"/>
    <w:rsid w:val="00615312"/>
    <w:rsid w:val="006156CE"/>
    <w:rsid w:val="00615834"/>
    <w:rsid w:val="006164F4"/>
    <w:rsid w:val="0062038A"/>
    <w:rsid w:val="0062057A"/>
    <w:rsid w:val="00621828"/>
    <w:rsid w:val="0062275C"/>
    <w:rsid w:val="00622C84"/>
    <w:rsid w:val="00622E21"/>
    <w:rsid w:val="00623687"/>
    <w:rsid w:val="006238E3"/>
    <w:rsid w:val="00624DCE"/>
    <w:rsid w:val="00626230"/>
    <w:rsid w:val="0062645C"/>
    <w:rsid w:val="006310CC"/>
    <w:rsid w:val="00631EB3"/>
    <w:rsid w:val="006326A9"/>
    <w:rsid w:val="00633473"/>
    <w:rsid w:val="0063356A"/>
    <w:rsid w:val="006340F8"/>
    <w:rsid w:val="00634752"/>
    <w:rsid w:val="0063543A"/>
    <w:rsid w:val="00635DA6"/>
    <w:rsid w:val="00636417"/>
    <w:rsid w:val="0063675F"/>
    <w:rsid w:val="0063717E"/>
    <w:rsid w:val="00637559"/>
    <w:rsid w:val="00637C78"/>
    <w:rsid w:val="006422CD"/>
    <w:rsid w:val="006425E4"/>
    <w:rsid w:val="00643741"/>
    <w:rsid w:val="00644D06"/>
    <w:rsid w:val="00645779"/>
    <w:rsid w:val="00645792"/>
    <w:rsid w:val="00645F2D"/>
    <w:rsid w:val="006465E5"/>
    <w:rsid w:val="00647125"/>
    <w:rsid w:val="00647891"/>
    <w:rsid w:val="00647982"/>
    <w:rsid w:val="00647D89"/>
    <w:rsid w:val="006509E1"/>
    <w:rsid w:val="006514D2"/>
    <w:rsid w:val="006516E8"/>
    <w:rsid w:val="00651A36"/>
    <w:rsid w:val="00652743"/>
    <w:rsid w:val="00652CFA"/>
    <w:rsid w:val="006530F3"/>
    <w:rsid w:val="00653569"/>
    <w:rsid w:val="00653D9B"/>
    <w:rsid w:val="00654333"/>
    <w:rsid w:val="00654722"/>
    <w:rsid w:val="00654EAE"/>
    <w:rsid w:val="006565D4"/>
    <w:rsid w:val="006568E9"/>
    <w:rsid w:val="00660D4B"/>
    <w:rsid w:val="006613F4"/>
    <w:rsid w:val="006615A4"/>
    <w:rsid w:val="006636BC"/>
    <w:rsid w:val="006645EC"/>
    <w:rsid w:val="00664A8D"/>
    <w:rsid w:val="00665C3F"/>
    <w:rsid w:val="006660DB"/>
    <w:rsid w:val="00666279"/>
    <w:rsid w:val="006667F6"/>
    <w:rsid w:val="00667039"/>
    <w:rsid w:val="0067083B"/>
    <w:rsid w:val="006738A3"/>
    <w:rsid w:val="00674DA5"/>
    <w:rsid w:val="0067523F"/>
    <w:rsid w:val="006761B3"/>
    <w:rsid w:val="006774AB"/>
    <w:rsid w:val="00680485"/>
    <w:rsid w:val="006807D5"/>
    <w:rsid w:val="0068161F"/>
    <w:rsid w:val="0068185D"/>
    <w:rsid w:val="006835E2"/>
    <w:rsid w:val="00683C6F"/>
    <w:rsid w:val="00684376"/>
    <w:rsid w:val="0068484C"/>
    <w:rsid w:val="006867C8"/>
    <w:rsid w:val="00686C44"/>
    <w:rsid w:val="00686CF2"/>
    <w:rsid w:val="00686E5E"/>
    <w:rsid w:val="0068749E"/>
    <w:rsid w:val="00687EFF"/>
    <w:rsid w:val="00690E83"/>
    <w:rsid w:val="00692EE4"/>
    <w:rsid w:val="00693743"/>
    <w:rsid w:val="006937D0"/>
    <w:rsid w:val="00694382"/>
    <w:rsid w:val="0069486F"/>
    <w:rsid w:val="006949D8"/>
    <w:rsid w:val="006955AA"/>
    <w:rsid w:val="006A14BC"/>
    <w:rsid w:val="006A3466"/>
    <w:rsid w:val="006A6E52"/>
    <w:rsid w:val="006A7760"/>
    <w:rsid w:val="006A7791"/>
    <w:rsid w:val="006A7D8A"/>
    <w:rsid w:val="006B0517"/>
    <w:rsid w:val="006B1C2E"/>
    <w:rsid w:val="006B4896"/>
    <w:rsid w:val="006B6B07"/>
    <w:rsid w:val="006B7047"/>
    <w:rsid w:val="006C1A46"/>
    <w:rsid w:val="006C2DE4"/>
    <w:rsid w:val="006C2F94"/>
    <w:rsid w:val="006C3B7D"/>
    <w:rsid w:val="006C3BA1"/>
    <w:rsid w:val="006C4131"/>
    <w:rsid w:val="006C4E73"/>
    <w:rsid w:val="006C6ED1"/>
    <w:rsid w:val="006C6F77"/>
    <w:rsid w:val="006C7998"/>
    <w:rsid w:val="006D0BDF"/>
    <w:rsid w:val="006D0F47"/>
    <w:rsid w:val="006D1A65"/>
    <w:rsid w:val="006D1F32"/>
    <w:rsid w:val="006D21B8"/>
    <w:rsid w:val="006D28CE"/>
    <w:rsid w:val="006D2D0B"/>
    <w:rsid w:val="006D466E"/>
    <w:rsid w:val="006D5698"/>
    <w:rsid w:val="006D5ABB"/>
    <w:rsid w:val="006D6100"/>
    <w:rsid w:val="006E01F7"/>
    <w:rsid w:val="006E068E"/>
    <w:rsid w:val="006E10D9"/>
    <w:rsid w:val="006E151B"/>
    <w:rsid w:val="006E3E90"/>
    <w:rsid w:val="006E4E0B"/>
    <w:rsid w:val="006E5859"/>
    <w:rsid w:val="006E59F5"/>
    <w:rsid w:val="006E6381"/>
    <w:rsid w:val="006E781C"/>
    <w:rsid w:val="006E7A03"/>
    <w:rsid w:val="006E7A9D"/>
    <w:rsid w:val="006E7F61"/>
    <w:rsid w:val="006F09C0"/>
    <w:rsid w:val="006F0DBC"/>
    <w:rsid w:val="006F17F6"/>
    <w:rsid w:val="006F22AF"/>
    <w:rsid w:val="006F3601"/>
    <w:rsid w:val="006F3A68"/>
    <w:rsid w:val="006F412A"/>
    <w:rsid w:val="006F5479"/>
    <w:rsid w:val="006F62C7"/>
    <w:rsid w:val="006F7298"/>
    <w:rsid w:val="006F7346"/>
    <w:rsid w:val="0070033F"/>
    <w:rsid w:val="0070067B"/>
    <w:rsid w:val="00700AEB"/>
    <w:rsid w:val="00700D7A"/>
    <w:rsid w:val="007012D3"/>
    <w:rsid w:val="0070210C"/>
    <w:rsid w:val="00702C81"/>
    <w:rsid w:val="007038F6"/>
    <w:rsid w:val="007045BF"/>
    <w:rsid w:val="007046E8"/>
    <w:rsid w:val="007051C3"/>
    <w:rsid w:val="00706B0A"/>
    <w:rsid w:val="00706CC1"/>
    <w:rsid w:val="00706DE8"/>
    <w:rsid w:val="007102A8"/>
    <w:rsid w:val="0071129F"/>
    <w:rsid w:val="00712F10"/>
    <w:rsid w:val="007139B7"/>
    <w:rsid w:val="00714352"/>
    <w:rsid w:val="007147C3"/>
    <w:rsid w:val="00714A63"/>
    <w:rsid w:val="00714C98"/>
    <w:rsid w:val="007160BF"/>
    <w:rsid w:val="0071680A"/>
    <w:rsid w:val="00716AE0"/>
    <w:rsid w:val="007176AA"/>
    <w:rsid w:val="00717A99"/>
    <w:rsid w:val="007204B7"/>
    <w:rsid w:val="007207EF"/>
    <w:rsid w:val="00720A70"/>
    <w:rsid w:val="00721AA9"/>
    <w:rsid w:val="00721E0D"/>
    <w:rsid w:val="0072201C"/>
    <w:rsid w:val="00723C59"/>
    <w:rsid w:val="00723E3A"/>
    <w:rsid w:val="0072481C"/>
    <w:rsid w:val="0072557D"/>
    <w:rsid w:val="00725F23"/>
    <w:rsid w:val="00726630"/>
    <w:rsid w:val="00727E0F"/>
    <w:rsid w:val="007316E7"/>
    <w:rsid w:val="00732142"/>
    <w:rsid w:val="00732F2B"/>
    <w:rsid w:val="00733DCE"/>
    <w:rsid w:val="00733ED0"/>
    <w:rsid w:val="00734824"/>
    <w:rsid w:val="007351EA"/>
    <w:rsid w:val="00736356"/>
    <w:rsid w:val="00736C1C"/>
    <w:rsid w:val="00737B73"/>
    <w:rsid w:val="0074022E"/>
    <w:rsid w:val="007404AB"/>
    <w:rsid w:val="0074059E"/>
    <w:rsid w:val="0074102B"/>
    <w:rsid w:val="00742F28"/>
    <w:rsid w:val="0074424B"/>
    <w:rsid w:val="00744A17"/>
    <w:rsid w:val="00745256"/>
    <w:rsid w:val="0074581C"/>
    <w:rsid w:val="007458ED"/>
    <w:rsid w:val="00745EBF"/>
    <w:rsid w:val="0074635F"/>
    <w:rsid w:val="00747D81"/>
    <w:rsid w:val="007506D6"/>
    <w:rsid w:val="00750BC0"/>
    <w:rsid w:val="00751823"/>
    <w:rsid w:val="007521F4"/>
    <w:rsid w:val="0075229D"/>
    <w:rsid w:val="007536BA"/>
    <w:rsid w:val="00753A4F"/>
    <w:rsid w:val="007559BF"/>
    <w:rsid w:val="00755F8D"/>
    <w:rsid w:val="00756D43"/>
    <w:rsid w:val="00757492"/>
    <w:rsid w:val="00760BD8"/>
    <w:rsid w:val="007614E1"/>
    <w:rsid w:val="007614FF"/>
    <w:rsid w:val="00762D08"/>
    <w:rsid w:val="00762D64"/>
    <w:rsid w:val="00763FD3"/>
    <w:rsid w:val="00764F0D"/>
    <w:rsid w:val="0076514D"/>
    <w:rsid w:val="007656B5"/>
    <w:rsid w:val="00765A2F"/>
    <w:rsid w:val="00766EA9"/>
    <w:rsid w:val="00767938"/>
    <w:rsid w:val="00770819"/>
    <w:rsid w:val="0077102D"/>
    <w:rsid w:val="00771F2F"/>
    <w:rsid w:val="00771FF6"/>
    <w:rsid w:val="007724AD"/>
    <w:rsid w:val="007731CD"/>
    <w:rsid w:val="007737BF"/>
    <w:rsid w:val="0077412B"/>
    <w:rsid w:val="007768F2"/>
    <w:rsid w:val="00776A4A"/>
    <w:rsid w:val="00777816"/>
    <w:rsid w:val="00780C5A"/>
    <w:rsid w:val="007822C7"/>
    <w:rsid w:val="0078465F"/>
    <w:rsid w:val="007849E3"/>
    <w:rsid w:val="0078530A"/>
    <w:rsid w:val="007854F5"/>
    <w:rsid w:val="00785E7A"/>
    <w:rsid w:val="00786D6C"/>
    <w:rsid w:val="00786DD8"/>
    <w:rsid w:val="007870EC"/>
    <w:rsid w:val="007877C1"/>
    <w:rsid w:val="00787E2A"/>
    <w:rsid w:val="00790DBA"/>
    <w:rsid w:val="00790F4E"/>
    <w:rsid w:val="00791027"/>
    <w:rsid w:val="00791146"/>
    <w:rsid w:val="00792D84"/>
    <w:rsid w:val="00792DFD"/>
    <w:rsid w:val="00792EE5"/>
    <w:rsid w:val="00794E2A"/>
    <w:rsid w:val="00795302"/>
    <w:rsid w:val="0079558E"/>
    <w:rsid w:val="0079619B"/>
    <w:rsid w:val="0079755E"/>
    <w:rsid w:val="007A018E"/>
    <w:rsid w:val="007A1248"/>
    <w:rsid w:val="007A1A72"/>
    <w:rsid w:val="007A26D2"/>
    <w:rsid w:val="007A2EA9"/>
    <w:rsid w:val="007A30AE"/>
    <w:rsid w:val="007A38B1"/>
    <w:rsid w:val="007A43F0"/>
    <w:rsid w:val="007A4913"/>
    <w:rsid w:val="007A7548"/>
    <w:rsid w:val="007A75C9"/>
    <w:rsid w:val="007B138D"/>
    <w:rsid w:val="007B13EC"/>
    <w:rsid w:val="007B1B01"/>
    <w:rsid w:val="007B2899"/>
    <w:rsid w:val="007B3DC9"/>
    <w:rsid w:val="007B3F09"/>
    <w:rsid w:val="007B429C"/>
    <w:rsid w:val="007B4E16"/>
    <w:rsid w:val="007B5690"/>
    <w:rsid w:val="007B66A7"/>
    <w:rsid w:val="007B7602"/>
    <w:rsid w:val="007C0F8B"/>
    <w:rsid w:val="007C14D8"/>
    <w:rsid w:val="007C24B1"/>
    <w:rsid w:val="007C2602"/>
    <w:rsid w:val="007C35BB"/>
    <w:rsid w:val="007C673E"/>
    <w:rsid w:val="007C6744"/>
    <w:rsid w:val="007D3127"/>
    <w:rsid w:val="007D363C"/>
    <w:rsid w:val="007D3C47"/>
    <w:rsid w:val="007D4564"/>
    <w:rsid w:val="007D6270"/>
    <w:rsid w:val="007D6856"/>
    <w:rsid w:val="007D7D65"/>
    <w:rsid w:val="007E055F"/>
    <w:rsid w:val="007E0A67"/>
    <w:rsid w:val="007E124A"/>
    <w:rsid w:val="007E20F0"/>
    <w:rsid w:val="007E3727"/>
    <w:rsid w:val="007E3F69"/>
    <w:rsid w:val="007E40B4"/>
    <w:rsid w:val="007E496E"/>
    <w:rsid w:val="007E55FD"/>
    <w:rsid w:val="007E602C"/>
    <w:rsid w:val="007E6081"/>
    <w:rsid w:val="007E75A4"/>
    <w:rsid w:val="007E7E3F"/>
    <w:rsid w:val="007F1724"/>
    <w:rsid w:val="007F3076"/>
    <w:rsid w:val="007F4571"/>
    <w:rsid w:val="007F54EF"/>
    <w:rsid w:val="007F6D7F"/>
    <w:rsid w:val="007F722F"/>
    <w:rsid w:val="008028A5"/>
    <w:rsid w:val="00803243"/>
    <w:rsid w:val="00803B8C"/>
    <w:rsid w:val="008056ED"/>
    <w:rsid w:val="00805760"/>
    <w:rsid w:val="008060CD"/>
    <w:rsid w:val="00806699"/>
    <w:rsid w:val="00806C5A"/>
    <w:rsid w:val="00810182"/>
    <w:rsid w:val="00810CEE"/>
    <w:rsid w:val="008116F9"/>
    <w:rsid w:val="00814806"/>
    <w:rsid w:val="00814811"/>
    <w:rsid w:val="008153EF"/>
    <w:rsid w:val="0081543C"/>
    <w:rsid w:val="0081630D"/>
    <w:rsid w:val="00816D8A"/>
    <w:rsid w:val="00817A0B"/>
    <w:rsid w:val="008205E3"/>
    <w:rsid w:val="0082167D"/>
    <w:rsid w:val="00821C20"/>
    <w:rsid w:val="00822D25"/>
    <w:rsid w:val="00823D08"/>
    <w:rsid w:val="0082465B"/>
    <w:rsid w:val="00824DC0"/>
    <w:rsid w:val="008250DD"/>
    <w:rsid w:val="00825200"/>
    <w:rsid w:val="00825BC9"/>
    <w:rsid w:val="00826268"/>
    <w:rsid w:val="008264A8"/>
    <w:rsid w:val="00826C41"/>
    <w:rsid w:val="00827460"/>
    <w:rsid w:val="00830617"/>
    <w:rsid w:val="008308EE"/>
    <w:rsid w:val="00830B40"/>
    <w:rsid w:val="00831DB7"/>
    <w:rsid w:val="00831EE5"/>
    <w:rsid w:val="00833A91"/>
    <w:rsid w:val="008348B7"/>
    <w:rsid w:val="00834AB3"/>
    <w:rsid w:val="00835655"/>
    <w:rsid w:val="008364ED"/>
    <w:rsid w:val="008374CF"/>
    <w:rsid w:val="008379CB"/>
    <w:rsid w:val="00842470"/>
    <w:rsid w:val="008430AC"/>
    <w:rsid w:val="00843526"/>
    <w:rsid w:val="00843920"/>
    <w:rsid w:val="00844EEF"/>
    <w:rsid w:val="008455B5"/>
    <w:rsid w:val="0084669E"/>
    <w:rsid w:val="0085002D"/>
    <w:rsid w:val="00850E41"/>
    <w:rsid w:val="00851B13"/>
    <w:rsid w:val="00851B57"/>
    <w:rsid w:val="00852213"/>
    <w:rsid w:val="00852B1F"/>
    <w:rsid w:val="00854118"/>
    <w:rsid w:val="00856356"/>
    <w:rsid w:val="00856D22"/>
    <w:rsid w:val="00856EF1"/>
    <w:rsid w:val="00860EEA"/>
    <w:rsid w:val="00861C97"/>
    <w:rsid w:val="0086393F"/>
    <w:rsid w:val="00864CE6"/>
    <w:rsid w:val="00865E3F"/>
    <w:rsid w:val="00866507"/>
    <w:rsid w:val="0086670B"/>
    <w:rsid w:val="00866B40"/>
    <w:rsid w:val="00870CE6"/>
    <w:rsid w:val="00873043"/>
    <w:rsid w:val="00874258"/>
    <w:rsid w:val="008758C4"/>
    <w:rsid w:val="00876012"/>
    <w:rsid w:val="00876532"/>
    <w:rsid w:val="00877B88"/>
    <w:rsid w:val="008804D8"/>
    <w:rsid w:val="008814B8"/>
    <w:rsid w:val="0088194D"/>
    <w:rsid w:val="00882097"/>
    <w:rsid w:val="00882D60"/>
    <w:rsid w:val="00883AB1"/>
    <w:rsid w:val="00884F4E"/>
    <w:rsid w:val="0088645A"/>
    <w:rsid w:val="008866A1"/>
    <w:rsid w:val="008903AC"/>
    <w:rsid w:val="00890A4D"/>
    <w:rsid w:val="00890C60"/>
    <w:rsid w:val="00891823"/>
    <w:rsid w:val="0089353E"/>
    <w:rsid w:val="008939A8"/>
    <w:rsid w:val="00894F02"/>
    <w:rsid w:val="00895E33"/>
    <w:rsid w:val="00895EA1"/>
    <w:rsid w:val="008960C2"/>
    <w:rsid w:val="008960C3"/>
    <w:rsid w:val="008969DF"/>
    <w:rsid w:val="0089747E"/>
    <w:rsid w:val="0089764E"/>
    <w:rsid w:val="00897699"/>
    <w:rsid w:val="0089793B"/>
    <w:rsid w:val="008A0673"/>
    <w:rsid w:val="008A1077"/>
    <w:rsid w:val="008A5522"/>
    <w:rsid w:val="008A66CA"/>
    <w:rsid w:val="008A7417"/>
    <w:rsid w:val="008B3A4B"/>
    <w:rsid w:val="008B4CF2"/>
    <w:rsid w:val="008B5AED"/>
    <w:rsid w:val="008B61D8"/>
    <w:rsid w:val="008B77E2"/>
    <w:rsid w:val="008C116C"/>
    <w:rsid w:val="008C28EE"/>
    <w:rsid w:val="008C4847"/>
    <w:rsid w:val="008C548F"/>
    <w:rsid w:val="008C5840"/>
    <w:rsid w:val="008C5B0D"/>
    <w:rsid w:val="008C6FE2"/>
    <w:rsid w:val="008D04E8"/>
    <w:rsid w:val="008D0EDF"/>
    <w:rsid w:val="008D2802"/>
    <w:rsid w:val="008D29B0"/>
    <w:rsid w:val="008D30E5"/>
    <w:rsid w:val="008D34AD"/>
    <w:rsid w:val="008D35A3"/>
    <w:rsid w:val="008D3D1D"/>
    <w:rsid w:val="008D7B74"/>
    <w:rsid w:val="008D7BD4"/>
    <w:rsid w:val="008E11A2"/>
    <w:rsid w:val="008E348D"/>
    <w:rsid w:val="008E5DCF"/>
    <w:rsid w:val="008E6007"/>
    <w:rsid w:val="008E6667"/>
    <w:rsid w:val="008E677D"/>
    <w:rsid w:val="008E6802"/>
    <w:rsid w:val="008E793A"/>
    <w:rsid w:val="008E7CE5"/>
    <w:rsid w:val="008E7CEE"/>
    <w:rsid w:val="008E7E92"/>
    <w:rsid w:val="008F0B3D"/>
    <w:rsid w:val="008F0D19"/>
    <w:rsid w:val="008F21C2"/>
    <w:rsid w:val="008F3C2B"/>
    <w:rsid w:val="008F3FA8"/>
    <w:rsid w:val="008F5B94"/>
    <w:rsid w:val="008F6F1A"/>
    <w:rsid w:val="008F75B7"/>
    <w:rsid w:val="008F7DAA"/>
    <w:rsid w:val="009006FF"/>
    <w:rsid w:val="00901480"/>
    <w:rsid w:val="009018A6"/>
    <w:rsid w:val="00902658"/>
    <w:rsid w:val="00902890"/>
    <w:rsid w:val="00902D88"/>
    <w:rsid w:val="009057DD"/>
    <w:rsid w:val="00906671"/>
    <w:rsid w:val="009066B6"/>
    <w:rsid w:val="00906CF1"/>
    <w:rsid w:val="0091019E"/>
    <w:rsid w:val="00910A46"/>
    <w:rsid w:val="00912618"/>
    <w:rsid w:val="0091603F"/>
    <w:rsid w:val="00916EC9"/>
    <w:rsid w:val="0091775B"/>
    <w:rsid w:val="00921A4B"/>
    <w:rsid w:val="00922F02"/>
    <w:rsid w:val="00924559"/>
    <w:rsid w:val="009249C9"/>
    <w:rsid w:val="00926213"/>
    <w:rsid w:val="00930641"/>
    <w:rsid w:val="0093165C"/>
    <w:rsid w:val="00932B5B"/>
    <w:rsid w:val="0093561F"/>
    <w:rsid w:val="009362E3"/>
    <w:rsid w:val="00936B74"/>
    <w:rsid w:val="00937ED3"/>
    <w:rsid w:val="009408C8"/>
    <w:rsid w:val="009408EF"/>
    <w:rsid w:val="00941110"/>
    <w:rsid w:val="00941975"/>
    <w:rsid w:val="00943EF4"/>
    <w:rsid w:val="00943F26"/>
    <w:rsid w:val="009443A6"/>
    <w:rsid w:val="0094665B"/>
    <w:rsid w:val="009505F6"/>
    <w:rsid w:val="00950A97"/>
    <w:rsid w:val="00950ED9"/>
    <w:rsid w:val="0095287D"/>
    <w:rsid w:val="00953D60"/>
    <w:rsid w:val="00954538"/>
    <w:rsid w:val="00955151"/>
    <w:rsid w:val="009553B4"/>
    <w:rsid w:val="00955D6C"/>
    <w:rsid w:val="00956E10"/>
    <w:rsid w:val="00957E4B"/>
    <w:rsid w:val="00960D51"/>
    <w:rsid w:val="00961561"/>
    <w:rsid w:val="0096170C"/>
    <w:rsid w:val="0096257C"/>
    <w:rsid w:val="0096470D"/>
    <w:rsid w:val="0096590B"/>
    <w:rsid w:val="00967344"/>
    <w:rsid w:val="0097005E"/>
    <w:rsid w:val="00971E40"/>
    <w:rsid w:val="009725AF"/>
    <w:rsid w:val="00973FFB"/>
    <w:rsid w:val="0097444E"/>
    <w:rsid w:val="009751D5"/>
    <w:rsid w:val="0097553B"/>
    <w:rsid w:val="00975A12"/>
    <w:rsid w:val="00976698"/>
    <w:rsid w:val="00977FDD"/>
    <w:rsid w:val="00981020"/>
    <w:rsid w:val="009819EF"/>
    <w:rsid w:val="0098344F"/>
    <w:rsid w:val="009839E6"/>
    <w:rsid w:val="0098421B"/>
    <w:rsid w:val="00984FEB"/>
    <w:rsid w:val="00987BC9"/>
    <w:rsid w:val="00990391"/>
    <w:rsid w:val="00990B8A"/>
    <w:rsid w:val="00991368"/>
    <w:rsid w:val="00991719"/>
    <w:rsid w:val="009922FC"/>
    <w:rsid w:val="00994262"/>
    <w:rsid w:val="00995663"/>
    <w:rsid w:val="009956B3"/>
    <w:rsid w:val="009958C3"/>
    <w:rsid w:val="009A1547"/>
    <w:rsid w:val="009A22FD"/>
    <w:rsid w:val="009A338F"/>
    <w:rsid w:val="009A4190"/>
    <w:rsid w:val="009A4508"/>
    <w:rsid w:val="009A45A9"/>
    <w:rsid w:val="009A4C13"/>
    <w:rsid w:val="009A5115"/>
    <w:rsid w:val="009A6279"/>
    <w:rsid w:val="009A6D9F"/>
    <w:rsid w:val="009A7DA2"/>
    <w:rsid w:val="009A7DCF"/>
    <w:rsid w:val="009B00C8"/>
    <w:rsid w:val="009B0C49"/>
    <w:rsid w:val="009B0D4B"/>
    <w:rsid w:val="009B24AD"/>
    <w:rsid w:val="009B27EC"/>
    <w:rsid w:val="009B3150"/>
    <w:rsid w:val="009B3337"/>
    <w:rsid w:val="009B3F42"/>
    <w:rsid w:val="009B417E"/>
    <w:rsid w:val="009B41B3"/>
    <w:rsid w:val="009B4ADC"/>
    <w:rsid w:val="009B7817"/>
    <w:rsid w:val="009B7B5D"/>
    <w:rsid w:val="009B7C7A"/>
    <w:rsid w:val="009B7D72"/>
    <w:rsid w:val="009C0007"/>
    <w:rsid w:val="009C1CAB"/>
    <w:rsid w:val="009C2DE6"/>
    <w:rsid w:val="009C3F22"/>
    <w:rsid w:val="009C6A85"/>
    <w:rsid w:val="009D0181"/>
    <w:rsid w:val="009D02DA"/>
    <w:rsid w:val="009D03DB"/>
    <w:rsid w:val="009D0E80"/>
    <w:rsid w:val="009D0EDB"/>
    <w:rsid w:val="009D2E40"/>
    <w:rsid w:val="009D2EEA"/>
    <w:rsid w:val="009D4750"/>
    <w:rsid w:val="009D65F8"/>
    <w:rsid w:val="009D6F44"/>
    <w:rsid w:val="009D7806"/>
    <w:rsid w:val="009D7AB3"/>
    <w:rsid w:val="009E06FF"/>
    <w:rsid w:val="009E1E34"/>
    <w:rsid w:val="009E1EEA"/>
    <w:rsid w:val="009E3AB5"/>
    <w:rsid w:val="009E41F2"/>
    <w:rsid w:val="009E524C"/>
    <w:rsid w:val="009E5773"/>
    <w:rsid w:val="009E6378"/>
    <w:rsid w:val="009F1691"/>
    <w:rsid w:val="009F3966"/>
    <w:rsid w:val="009F591B"/>
    <w:rsid w:val="009F6442"/>
    <w:rsid w:val="009F77BF"/>
    <w:rsid w:val="009F7953"/>
    <w:rsid w:val="009F7E1F"/>
    <w:rsid w:val="00A02BD7"/>
    <w:rsid w:val="00A03224"/>
    <w:rsid w:val="00A0336F"/>
    <w:rsid w:val="00A03B14"/>
    <w:rsid w:val="00A04C87"/>
    <w:rsid w:val="00A059A4"/>
    <w:rsid w:val="00A06340"/>
    <w:rsid w:val="00A06775"/>
    <w:rsid w:val="00A069FD"/>
    <w:rsid w:val="00A10212"/>
    <w:rsid w:val="00A11684"/>
    <w:rsid w:val="00A12346"/>
    <w:rsid w:val="00A1257D"/>
    <w:rsid w:val="00A14817"/>
    <w:rsid w:val="00A14A32"/>
    <w:rsid w:val="00A22246"/>
    <w:rsid w:val="00A26173"/>
    <w:rsid w:val="00A265D8"/>
    <w:rsid w:val="00A26AAF"/>
    <w:rsid w:val="00A27F5E"/>
    <w:rsid w:val="00A30694"/>
    <w:rsid w:val="00A313CD"/>
    <w:rsid w:val="00A32D89"/>
    <w:rsid w:val="00A333CA"/>
    <w:rsid w:val="00A35BBD"/>
    <w:rsid w:val="00A36FEB"/>
    <w:rsid w:val="00A37097"/>
    <w:rsid w:val="00A37122"/>
    <w:rsid w:val="00A3769D"/>
    <w:rsid w:val="00A4056F"/>
    <w:rsid w:val="00A4077D"/>
    <w:rsid w:val="00A408AE"/>
    <w:rsid w:val="00A42867"/>
    <w:rsid w:val="00A428E2"/>
    <w:rsid w:val="00A42906"/>
    <w:rsid w:val="00A43680"/>
    <w:rsid w:val="00A44552"/>
    <w:rsid w:val="00A4530D"/>
    <w:rsid w:val="00A4562F"/>
    <w:rsid w:val="00A4618D"/>
    <w:rsid w:val="00A464C3"/>
    <w:rsid w:val="00A476EC"/>
    <w:rsid w:val="00A47C2A"/>
    <w:rsid w:val="00A50EA2"/>
    <w:rsid w:val="00A51214"/>
    <w:rsid w:val="00A52038"/>
    <w:rsid w:val="00A52564"/>
    <w:rsid w:val="00A53ECB"/>
    <w:rsid w:val="00A54912"/>
    <w:rsid w:val="00A54D41"/>
    <w:rsid w:val="00A551E0"/>
    <w:rsid w:val="00A55F48"/>
    <w:rsid w:val="00A57909"/>
    <w:rsid w:val="00A5794B"/>
    <w:rsid w:val="00A613F7"/>
    <w:rsid w:val="00A63AD1"/>
    <w:rsid w:val="00A64944"/>
    <w:rsid w:val="00A65538"/>
    <w:rsid w:val="00A65862"/>
    <w:rsid w:val="00A65FEC"/>
    <w:rsid w:val="00A6601D"/>
    <w:rsid w:val="00A66292"/>
    <w:rsid w:val="00A67214"/>
    <w:rsid w:val="00A7016E"/>
    <w:rsid w:val="00A7073F"/>
    <w:rsid w:val="00A718C5"/>
    <w:rsid w:val="00A7193D"/>
    <w:rsid w:val="00A71A34"/>
    <w:rsid w:val="00A7234F"/>
    <w:rsid w:val="00A72D7B"/>
    <w:rsid w:val="00A72E92"/>
    <w:rsid w:val="00A73D0F"/>
    <w:rsid w:val="00A7735F"/>
    <w:rsid w:val="00A805B2"/>
    <w:rsid w:val="00A81583"/>
    <w:rsid w:val="00A8158A"/>
    <w:rsid w:val="00A85A8D"/>
    <w:rsid w:val="00A86DBF"/>
    <w:rsid w:val="00A91AFB"/>
    <w:rsid w:val="00A93D94"/>
    <w:rsid w:val="00A943E3"/>
    <w:rsid w:val="00A95297"/>
    <w:rsid w:val="00A958B0"/>
    <w:rsid w:val="00A97492"/>
    <w:rsid w:val="00A97848"/>
    <w:rsid w:val="00AA0324"/>
    <w:rsid w:val="00AA099C"/>
    <w:rsid w:val="00AA1567"/>
    <w:rsid w:val="00AA3793"/>
    <w:rsid w:val="00AA456B"/>
    <w:rsid w:val="00AA4A5C"/>
    <w:rsid w:val="00AA6D8A"/>
    <w:rsid w:val="00AA70B5"/>
    <w:rsid w:val="00AA7875"/>
    <w:rsid w:val="00AB1349"/>
    <w:rsid w:val="00AB2E63"/>
    <w:rsid w:val="00AB3B95"/>
    <w:rsid w:val="00AB45AD"/>
    <w:rsid w:val="00AB665F"/>
    <w:rsid w:val="00AB6BB0"/>
    <w:rsid w:val="00AB75AA"/>
    <w:rsid w:val="00AB7B96"/>
    <w:rsid w:val="00AC070C"/>
    <w:rsid w:val="00AC1B5A"/>
    <w:rsid w:val="00AC3F1E"/>
    <w:rsid w:val="00AC4503"/>
    <w:rsid w:val="00AC6461"/>
    <w:rsid w:val="00AC7188"/>
    <w:rsid w:val="00AC7421"/>
    <w:rsid w:val="00AC77DE"/>
    <w:rsid w:val="00AD0907"/>
    <w:rsid w:val="00AD24DC"/>
    <w:rsid w:val="00AD50D5"/>
    <w:rsid w:val="00AD5429"/>
    <w:rsid w:val="00AD594D"/>
    <w:rsid w:val="00AD5996"/>
    <w:rsid w:val="00AD5EF2"/>
    <w:rsid w:val="00AD6098"/>
    <w:rsid w:val="00AD661D"/>
    <w:rsid w:val="00AD702C"/>
    <w:rsid w:val="00AD7F44"/>
    <w:rsid w:val="00AE0017"/>
    <w:rsid w:val="00AE39C1"/>
    <w:rsid w:val="00AE3DAB"/>
    <w:rsid w:val="00AE4BA0"/>
    <w:rsid w:val="00AE524E"/>
    <w:rsid w:val="00AE5B43"/>
    <w:rsid w:val="00AE61C0"/>
    <w:rsid w:val="00AE6228"/>
    <w:rsid w:val="00AF0C8F"/>
    <w:rsid w:val="00AF16F6"/>
    <w:rsid w:val="00AF23C3"/>
    <w:rsid w:val="00AF2870"/>
    <w:rsid w:val="00AF3006"/>
    <w:rsid w:val="00AF3290"/>
    <w:rsid w:val="00AF3A06"/>
    <w:rsid w:val="00AF4CE5"/>
    <w:rsid w:val="00AF53E1"/>
    <w:rsid w:val="00AF6F07"/>
    <w:rsid w:val="00AF76EE"/>
    <w:rsid w:val="00B0133D"/>
    <w:rsid w:val="00B01A99"/>
    <w:rsid w:val="00B021E1"/>
    <w:rsid w:val="00B048E4"/>
    <w:rsid w:val="00B050DE"/>
    <w:rsid w:val="00B06657"/>
    <w:rsid w:val="00B06D2C"/>
    <w:rsid w:val="00B0741D"/>
    <w:rsid w:val="00B07A16"/>
    <w:rsid w:val="00B07AC4"/>
    <w:rsid w:val="00B10B4D"/>
    <w:rsid w:val="00B11A4E"/>
    <w:rsid w:val="00B11E2A"/>
    <w:rsid w:val="00B121F3"/>
    <w:rsid w:val="00B12505"/>
    <w:rsid w:val="00B16299"/>
    <w:rsid w:val="00B17D96"/>
    <w:rsid w:val="00B17F00"/>
    <w:rsid w:val="00B21F36"/>
    <w:rsid w:val="00B220B8"/>
    <w:rsid w:val="00B22C8E"/>
    <w:rsid w:val="00B23EFF"/>
    <w:rsid w:val="00B25204"/>
    <w:rsid w:val="00B2611F"/>
    <w:rsid w:val="00B268D1"/>
    <w:rsid w:val="00B269CC"/>
    <w:rsid w:val="00B275B1"/>
    <w:rsid w:val="00B30493"/>
    <w:rsid w:val="00B30C11"/>
    <w:rsid w:val="00B31AE0"/>
    <w:rsid w:val="00B32985"/>
    <w:rsid w:val="00B33FF4"/>
    <w:rsid w:val="00B347D9"/>
    <w:rsid w:val="00B349D5"/>
    <w:rsid w:val="00B35509"/>
    <w:rsid w:val="00B35648"/>
    <w:rsid w:val="00B36AF9"/>
    <w:rsid w:val="00B37236"/>
    <w:rsid w:val="00B37D5C"/>
    <w:rsid w:val="00B41858"/>
    <w:rsid w:val="00B41A84"/>
    <w:rsid w:val="00B41DE1"/>
    <w:rsid w:val="00B41FA1"/>
    <w:rsid w:val="00B42571"/>
    <w:rsid w:val="00B42D5C"/>
    <w:rsid w:val="00B44925"/>
    <w:rsid w:val="00B457FD"/>
    <w:rsid w:val="00B46D1F"/>
    <w:rsid w:val="00B46E9E"/>
    <w:rsid w:val="00B47FCE"/>
    <w:rsid w:val="00B501AB"/>
    <w:rsid w:val="00B509B3"/>
    <w:rsid w:val="00B50F62"/>
    <w:rsid w:val="00B5114A"/>
    <w:rsid w:val="00B51841"/>
    <w:rsid w:val="00B52C16"/>
    <w:rsid w:val="00B52C34"/>
    <w:rsid w:val="00B532A4"/>
    <w:rsid w:val="00B53905"/>
    <w:rsid w:val="00B550ED"/>
    <w:rsid w:val="00B55A5D"/>
    <w:rsid w:val="00B56D53"/>
    <w:rsid w:val="00B5794B"/>
    <w:rsid w:val="00B601E9"/>
    <w:rsid w:val="00B6137C"/>
    <w:rsid w:val="00B62254"/>
    <w:rsid w:val="00B62C0A"/>
    <w:rsid w:val="00B63007"/>
    <w:rsid w:val="00B63783"/>
    <w:rsid w:val="00B64183"/>
    <w:rsid w:val="00B64464"/>
    <w:rsid w:val="00B6537E"/>
    <w:rsid w:val="00B65F2F"/>
    <w:rsid w:val="00B660CD"/>
    <w:rsid w:val="00B6634E"/>
    <w:rsid w:val="00B66C9B"/>
    <w:rsid w:val="00B6793E"/>
    <w:rsid w:val="00B7093F"/>
    <w:rsid w:val="00B70D50"/>
    <w:rsid w:val="00B70EFE"/>
    <w:rsid w:val="00B71382"/>
    <w:rsid w:val="00B71FEB"/>
    <w:rsid w:val="00B72BE2"/>
    <w:rsid w:val="00B72C85"/>
    <w:rsid w:val="00B74145"/>
    <w:rsid w:val="00B753E5"/>
    <w:rsid w:val="00B77100"/>
    <w:rsid w:val="00B81712"/>
    <w:rsid w:val="00B83AA6"/>
    <w:rsid w:val="00B83F4C"/>
    <w:rsid w:val="00B84E46"/>
    <w:rsid w:val="00B910A3"/>
    <w:rsid w:val="00B92044"/>
    <w:rsid w:val="00B942A6"/>
    <w:rsid w:val="00B95B57"/>
    <w:rsid w:val="00B9665A"/>
    <w:rsid w:val="00B966C3"/>
    <w:rsid w:val="00BA0DED"/>
    <w:rsid w:val="00BA34E1"/>
    <w:rsid w:val="00BA360B"/>
    <w:rsid w:val="00BA447D"/>
    <w:rsid w:val="00BA56FC"/>
    <w:rsid w:val="00BA5902"/>
    <w:rsid w:val="00BA686E"/>
    <w:rsid w:val="00BA764E"/>
    <w:rsid w:val="00BA784F"/>
    <w:rsid w:val="00BB2DFA"/>
    <w:rsid w:val="00BB50A9"/>
    <w:rsid w:val="00BB60A7"/>
    <w:rsid w:val="00BB7652"/>
    <w:rsid w:val="00BB7B29"/>
    <w:rsid w:val="00BB7BCE"/>
    <w:rsid w:val="00BC18C9"/>
    <w:rsid w:val="00BC1F11"/>
    <w:rsid w:val="00BC2593"/>
    <w:rsid w:val="00BC2854"/>
    <w:rsid w:val="00BC286D"/>
    <w:rsid w:val="00BC30DC"/>
    <w:rsid w:val="00BC343C"/>
    <w:rsid w:val="00BC3888"/>
    <w:rsid w:val="00BC3BCC"/>
    <w:rsid w:val="00BC6C33"/>
    <w:rsid w:val="00BC7D1E"/>
    <w:rsid w:val="00BD1419"/>
    <w:rsid w:val="00BD1D9B"/>
    <w:rsid w:val="00BD40A0"/>
    <w:rsid w:val="00BD5021"/>
    <w:rsid w:val="00BD5D94"/>
    <w:rsid w:val="00BD5E18"/>
    <w:rsid w:val="00BD5F34"/>
    <w:rsid w:val="00BD6B95"/>
    <w:rsid w:val="00BD7A90"/>
    <w:rsid w:val="00BD7B20"/>
    <w:rsid w:val="00BD7F38"/>
    <w:rsid w:val="00BE0BCB"/>
    <w:rsid w:val="00BE17E5"/>
    <w:rsid w:val="00BE22BA"/>
    <w:rsid w:val="00BE2A5F"/>
    <w:rsid w:val="00BE2B6E"/>
    <w:rsid w:val="00BE6304"/>
    <w:rsid w:val="00BE652C"/>
    <w:rsid w:val="00BE68F3"/>
    <w:rsid w:val="00BF005E"/>
    <w:rsid w:val="00BF01CB"/>
    <w:rsid w:val="00BF1D93"/>
    <w:rsid w:val="00BF1FC3"/>
    <w:rsid w:val="00BF4071"/>
    <w:rsid w:val="00BF5442"/>
    <w:rsid w:val="00BF54E8"/>
    <w:rsid w:val="00BF580F"/>
    <w:rsid w:val="00BF6FBE"/>
    <w:rsid w:val="00BF70B5"/>
    <w:rsid w:val="00C0004D"/>
    <w:rsid w:val="00C000D2"/>
    <w:rsid w:val="00C00504"/>
    <w:rsid w:val="00C01901"/>
    <w:rsid w:val="00C01DD7"/>
    <w:rsid w:val="00C02CBD"/>
    <w:rsid w:val="00C03068"/>
    <w:rsid w:val="00C0327D"/>
    <w:rsid w:val="00C045A6"/>
    <w:rsid w:val="00C04F51"/>
    <w:rsid w:val="00C07E34"/>
    <w:rsid w:val="00C10325"/>
    <w:rsid w:val="00C10842"/>
    <w:rsid w:val="00C1169B"/>
    <w:rsid w:val="00C117B3"/>
    <w:rsid w:val="00C11DD7"/>
    <w:rsid w:val="00C13093"/>
    <w:rsid w:val="00C141DE"/>
    <w:rsid w:val="00C14533"/>
    <w:rsid w:val="00C161B9"/>
    <w:rsid w:val="00C1671A"/>
    <w:rsid w:val="00C17118"/>
    <w:rsid w:val="00C17F98"/>
    <w:rsid w:val="00C203A8"/>
    <w:rsid w:val="00C22B6B"/>
    <w:rsid w:val="00C22CEA"/>
    <w:rsid w:val="00C231E4"/>
    <w:rsid w:val="00C24190"/>
    <w:rsid w:val="00C24CA1"/>
    <w:rsid w:val="00C24DE7"/>
    <w:rsid w:val="00C251A3"/>
    <w:rsid w:val="00C25F88"/>
    <w:rsid w:val="00C2642E"/>
    <w:rsid w:val="00C266B0"/>
    <w:rsid w:val="00C26D4C"/>
    <w:rsid w:val="00C300FC"/>
    <w:rsid w:val="00C31472"/>
    <w:rsid w:val="00C32E10"/>
    <w:rsid w:val="00C33333"/>
    <w:rsid w:val="00C33708"/>
    <w:rsid w:val="00C34039"/>
    <w:rsid w:val="00C34B26"/>
    <w:rsid w:val="00C34E6F"/>
    <w:rsid w:val="00C369FE"/>
    <w:rsid w:val="00C40BF2"/>
    <w:rsid w:val="00C41FC3"/>
    <w:rsid w:val="00C4367C"/>
    <w:rsid w:val="00C446CA"/>
    <w:rsid w:val="00C45EA6"/>
    <w:rsid w:val="00C46203"/>
    <w:rsid w:val="00C46D35"/>
    <w:rsid w:val="00C500F7"/>
    <w:rsid w:val="00C5035D"/>
    <w:rsid w:val="00C527F9"/>
    <w:rsid w:val="00C52A38"/>
    <w:rsid w:val="00C532FB"/>
    <w:rsid w:val="00C54214"/>
    <w:rsid w:val="00C556AD"/>
    <w:rsid w:val="00C56B6A"/>
    <w:rsid w:val="00C5725D"/>
    <w:rsid w:val="00C60567"/>
    <w:rsid w:val="00C60DEA"/>
    <w:rsid w:val="00C61442"/>
    <w:rsid w:val="00C6257B"/>
    <w:rsid w:val="00C62B2D"/>
    <w:rsid w:val="00C639ED"/>
    <w:rsid w:val="00C64D92"/>
    <w:rsid w:val="00C65089"/>
    <w:rsid w:val="00C6579B"/>
    <w:rsid w:val="00C6592C"/>
    <w:rsid w:val="00C65A3D"/>
    <w:rsid w:val="00C70CB2"/>
    <w:rsid w:val="00C71EA1"/>
    <w:rsid w:val="00C73318"/>
    <w:rsid w:val="00C73978"/>
    <w:rsid w:val="00C73EC8"/>
    <w:rsid w:val="00C748FF"/>
    <w:rsid w:val="00C7540B"/>
    <w:rsid w:val="00C75ED7"/>
    <w:rsid w:val="00C768C9"/>
    <w:rsid w:val="00C76FF3"/>
    <w:rsid w:val="00C770E5"/>
    <w:rsid w:val="00C80456"/>
    <w:rsid w:val="00C819FA"/>
    <w:rsid w:val="00C81D7B"/>
    <w:rsid w:val="00C81E5F"/>
    <w:rsid w:val="00C8243E"/>
    <w:rsid w:val="00C82FDD"/>
    <w:rsid w:val="00C84939"/>
    <w:rsid w:val="00C84C75"/>
    <w:rsid w:val="00C854EC"/>
    <w:rsid w:val="00C8657D"/>
    <w:rsid w:val="00C86A82"/>
    <w:rsid w:val="00C87150"/>
    <w:rsid w:val="00C87A23"/>
    <w:rsid w:val="00C90300"/>
    <w:rsid w:val="00C907AB"/>
    <w:rsid w:val="00C92781"/>
    <w:rsid w:val="00C936EA"/>
    <w:rsid w:val="00C94065"/>
    <w:rsid w:val="00C95283"/>
    <w:rsid w:val="00C952E3"/>
    <w:rsid w:val="00C95561"/>
    <w:rsid w:val="00CA143B"/>
    <w:rsid w:val="00CA207D"/>
    <w:rsid w:val="00CA209B"/>
    <w:rsid w:val="00CA3E84"/>
    <w:rsid w:val="00CA4507"/>
    <w:rsid w:val="00CA452E"/>
    <w:rsid w:val="00CA46D5"/>
    <w:rsid w:val="00CA6A36"/>
    <w:rsid w:val="00CA6CB1"/>
    <w:rsid w:val="00CA6ED2"/>
    <w:rsid w:val="00CA79D7"/>
    <w:rsid w:val="00CB27A9"/>
    <w:rsid w:val="00CB3E87"/>
    <w:rsid w:val="00CB5932"/>
    <w:rsid w:val="00CB6C5E"/>
    <w:rsid w:val="00CC10DD"/>
    <w:rsid w:val="00CC1A1E"/>
    <w:rsid w:val="00CC2409"/>
    <w:rsid w:val="00CC2AC1"/>
    <w:rsid w:val="00CC2F93"/>
    <w:rsid w:val="00CC3987"/>
    <w:rsid w:val="00CC4324"/>
    <w:rsid w:val="00CC4954"/>
    <w:rsid w:val="00CC58D0"/>
    <w:rsid w:val="00CC6454"/>
    <w:rsid w:val="00CD02E8"/>
    <w:rsid w:val="00CD03E6"/>
    <w:rsid w:val="00CD25A5"/>
    <w:rsid w:val="00CD287C"/>
    <w:rsid w:val="00CD2BBF"/>
    <w:rsid w:val="00CD2DF6"/>
    <w:rsid w:val="00CD4125"/>
    <w:rsid w:val="00CD624B"/>
    <w:rsid w:val="00CD630C"/>
    <w:rsid w:val="00CD6BA1"/>
    <w:rsid w:val="00CD7904"/>
    <w:rsid w:val="00CE060D"/>
    <w:rsid w:val="00CE1271"/>
    <w:rsid w:val="00CE1C32"/>
    <w:rsid w:val="00CE2025"/>
    <w:rsid w:val="00CE33E6"/>
    <w:rsid w:val="00CE42D5"/>
    <w:rsid w:val="00CE4800"/>
    <w:rsid w:val="00CE517F"/>
    <w:rsid w:val="00CE58E1"/>
    <w:rsid w:val="00CE5946"/>
    <w:rsid w:val="00CF0853"/>
    <w:rsid w:val="00CF328B"/>
    <w:rsid w:val="00CF3467"/>
    <w:rsid w:val="00CF349B"/>
    <w:rsid w:val="00CF5463"/>
    <w:rsid w:val="00CF59A2"/>
    <w:rsid w:val="00CF6B62"/>
    <w:rsid w:val="00D00432"/>
    <w:rsid w:val="00D013C2"/>
    <w:rsid w:val="00D03C7F"/>
    <w:rsid w:val="00D049C5"/>
    <w:rsid w:val="00D04CCD"/>
    <w:rsid w:val="00D05D9C"/>
    <w:rsid w:val="00D05FB3"/>
    <w:rsid w:val="00D065C6"/>
    <w:rsid w:val="00D06DCE"/>
    <w:rsid w:val="00D07E27"/>
    <w:rsid w:val="00D10081"/>
    <w:rsid w:val="00D10A36"/>
    <w:rsid w:val="00D11874"/>
    <w:rsid w:val="00D11ECB"/>
    <w:rsid w:val="00D1200B"/>
    <w:rsid w:val="00D1351C"/>
    <w:rsid w:val="00D13E6F"/>
    <w:rsid w:val="00D16BB9"/>
    <w:rsid w:val="00D200A4"/>
    <w:rsid w:val="00D205D2"/>
    <w:rsid w:val="00D205E8"/>
    <w:rsid w:val="00D20BCA"/>
    <w:rsid w:val="00D211B3"/>
    <w:rsid w:val="00D2195C"/>
    <w:rsid w:val="00D21976"/>
    <w:rsid w:val="00D21D99"/>
    <w:rsid w:val="00D24ADC"/>
    <w:rsid w:val="00D24E40"/>
    <w:rsid w:val="00D255F7"/>
    <w:rsid w:val="00D25915"/>
    <w:rsid w:val="00D26460"/>
    <w:rsid w:val="00D264B6"/>
    <w:rsid w:val="00D318F0"/>
    <w:rsid w:val="00D31E8E"/>
    <w:rsid w:val="00D326A0"/>
    <w:rsid w:val="00D32A47"/>
    <w:rsid w:val="00D33D5E"/>
    <w:rsid w:val="00D33EEE"/>
    <w:rsid w:val="00D35609"/>
    <w:rsid w:val="00D3648B"/>
    <w:rsid w:val="00D36B72"/>
    <w:rsid w:val="00D36CFB"/>
    <w:rsid w:val="00D36D9B"/>
    <w:rsid w:val="00D377D0"/>
    <w:rsid w:val="00D37C8A"/>
    <w:rsid w:val="00D4005C"/>
    <w:rsid w:val="00D4049A"/>
    <w:rsid w:val="00D40F99"/>
    <w:rsid w:val="00D4246D"/>
    <w:rsid w:val="00D42B9B"/>
    <w:rsid w:val="00D43505"/>
    <w:rsid w:val="00D4394C"/>
    <w:rsid w:val="00D45A46"/>
    <w:rsid w:val="00D45F92"/>
    <w:rsid w:val="00D47C6F"/>
    <w:rsid w:val="00D47D47"/>
    <w:rsid w:val="00D50E88"/>
    <w:rsid w:val="00D50E9F"/>
    <w:rsid w:val="00D5203C"/>
    <w:rsid w:val="00D52FD0"/>
    <w:rsid w:val="00D56E8F"/>
    <w:rsid w:val="00D57A20"/>
    <w:rsid w:val="00D603EC"/>
    <w:rsid w:val="00D606F8"/>
    <w:rsid w:val="00D60F37"/>
    <w:rsid w:val="00D6143E"/>
    <w:rsid w:val="00D6179F"/>
    <w:rsid w:val="00D6293F"/>
    <w:rsid w:val="00D66522"/>
    <w:rsid w:val="00D66DA8"/>
    <w:rsid w:val="00D66FF6"/>
    <w:rsid w:val="00D675D2"/>
    <w:rsid w:val="00D67A20"/>
    <w:rsid w:val="00D72C51"/>
    <w:rsid w:val="00D741B2"/>
    <w:rsid w:val="00D75624"/>
    <w:rsid w:val="00D757F7"/>
    <w:rsid w:val="00D76A3C"/>
    <w:rsid w:val="00D77EB6"/>
    <w:rsid w:val="00D809CE"/>
    <w:rsid w:val="00D80C44"/>
    <w:rsid w:val="00D80FCC"/>
    <w:rsid w:val="00D816D6"/>
    <w:rsid w:val="00D82651"/>
    <w:rsid w:val="00D83207"/>
    <w:rsid w:val="00D8391E"/>
    <w:rsid w:val="00D8509E"/>
    <w:rsid w:val="00D867E0"/>
    <w:rsid w:val="00D906D7"/>
    <w:rsid w:val="00D90DEC"/>
    <w:rsid w:val="00D92176"/>
    <w:rsid w:val="00D92D2F"/>
    <w:rsid w:val="00D932F9"/>
    <w:rsid w:val="00D93F8E"/>
    <w:rsid w:val="00D941E6"/>
    <w:rsid w:val="00D9523D"/>
    <w:rsid w:val="00D95362"/>
    <w:rsid w:val="00D957D9"/>
    <w:rsid w:val="00D95817"/>
    <w:rsid w:val="00D95BB0"/>
    <w:rsid w:val="00D96070"/>
    <w:rsid w:val="00D967D4"/>
    <w:rsid w:val="00D97A9A"/>
    <w:rsid w:val="00DA0E23"/>
    <w:rsid w:val="00DA206C"/>
    <w:rsid w:val="00DA3242"/>
    <w:rsid w:val="00DA3F9E"/>
    <w:rsid w:val="00DA54E3"/>
    <w:rsid w:val="00DA6209"/>
    <w:rsid w:val="00DB0192"/>
    <w:rsid w:val="00DB2AA4"/>
    <w:rsid w:val="00DB34B2"/>
    <w:rsid w:val="00DB3927"/>
    <w:rsid w:val="00DB6085"/>
    <w:rsid w:val="00DB6125"/>
    <w:rsid w:val="00DB6A6B"/>
    <w:rsid w:val="00DB783E"/>
    <w:rsid w:val="00DC124E"/>
    <w:rsid w:val="00DC220E"/>
    <w:rsid w:val="00DC22A6"/>
    <w:rsid w:val="00DC2643"/>
    <w:rsid w:val="00DC30CE"/>
    <w:rsid w:val="00DC3B41"/>
    <w:rsid w:val="00DC3EE8"/>
    <w:rsid w:val="00DC4C49"/>
    <w:rsid w:val="00DC5153"/>
    <w:rsid w:val="00DC5AA2"/>
    <w:rsid w:val="00DC7D65"/>
    <w:rsid w:val="00DD2584"/>
    <w:rsid w:val="00DD637E"/>
    <w:rsid w:val="00DD73CA"/>
    <w:rsid w:val="00DE05ED"/>
    <w:rsid w:val="00DE06C5"/>
    <w:rsid w:val="00DE14D3"/>
    <w:rsid w:val="00DE16ED"/>
    <w:rsid w:val="00DE1D1C"/>
    <w:rsid w:val="00DE260A"/>
    <w:rsid w:val="00DE28E3"/>
    <w:rsid w:val="00DE4043"/>
    <w:rsid w:val="00DE4540"/>
    <w:rsid w:val="00DE45E1"/>
    <w:rsid w:val="00DE62E3"/>
    <w:rsid w:val="00DE647C"/>
    <w:rsid w:val="00DF0C9E"/>
    <w:rsid w:val="00DF0EE4"/>
    <w:rsid w:val="00DF3B3C"/>
    <w:rsid w:val="00DF47E9"/>
    <w:rsid w:val="00DF4DE5"/>
    <w:rsid w:val="00DF5C9A"/>
    <w:rsid w:val="00DF66F9"/>
    <w:rsid w:val="00DF7996"/>
    <w:rsid w:val="00E013D6"/>
    <w:rsid w:val="00E01B96"/>
    <w:rsid w:val="00E0289E"/>
    <w:rsid w:val="00E02F8C"/>
    <w:rsid w:val="00E02F95"/>
    <w:rsid w:val="00E037A4"/>
    <w:rsid w:val="00E038C0"/>
    <w:rsid w:val="00E03E96"/>
    <w:rsid w:val="00E04135"/>
    <w:rsid w:val="00E0461D"/>
    <w:rsid w:val="00E04FB8"/>
    <w:rsid w:val="00E05578"/>
    <w:rsid w:val="00E074CB"/>
    <w:rsid w:val="00E07F6F"/>
    <w:rsid w:val="00E1269E"/>
    <w:rsid w:val="00E1342D"/>
    <w:rsid w:val="00E134D0"/>
    <w:rsid w:val="00E13A18"/>
    <w:rsid w:val="00E13B60"/>
    <w:rsid w:val="00E14C2D"/>
    <w:rsid w:val="00E15E87"/>
    <w:rsid w:val="00E164AA"/>
    <w:rsid w:val="00E16F92"/>
    <w:rsid w:val="00E20674"/>
    <w:rsid w:val="00E2201B"/>
    <w:rsid w:val="00E22753"/>
    <w:rsid w:val="00E22E8B"/>
    <w:rsid w:val="00E2615A"/>
    <w:rsid w:val="00E27BCD"/>
    <w:rsid w:val="00E31089"/>
    <w:rsid w:val="00E32169"/>
    <w:rsid w:val="00E329C6"/>
    <w:rsid w:val="00E337D8"/>
    <w:rsid w:val="00E33E1F"/>
    <w:rsid w:val="00E348E4"/>
    <w:rsid w:val="00E34E81"/>
    <w:rsid w:val="00E360AD"/>
    <w:rsid w:val="00E3641B"/>
    <w:rsid w:val="00E37BB7"/>
    <w:rsid w:val="00E41CB3"/>
    <w:rsid w:val="00E42C9D"/>
    <w:rsid w:val="00E42FCC"/>
    <w:rsid w:val="00E42FEC"/>
    <w:rsid w:val="00E445A7"/>
    <w:rsid w:val="00E459EE"/>
    <w:rsid w:val="00E46DDC"/>
    <w:rsid w:val="00E518C3"/>
    <w:rsid w:val="00E51D06"/>
    <w:rsid w:val="00E54417"/>
    <w:rsid w:val="00E56AB2"/>
    <w:rsid w:val="00E6035C"/>
    <w:rsid w:val="00E607C1"/>
    <w:rsid w:val="00E60CB5"/>
    <w:rsid w:val="00E61FD4"/>
    <w:rsid w:val="00E62328"/>
    <w:rsid w:val="00E642CE"/>
    <w:rsid w:val="00E64359"/>
    <w:rsid w:val="00E64D1C"/>
    <w:rsid w:val="00E65589"/>
    <w:rsid w:val="00E6685F"/>
    <w:rsid w:val="00E67B6D"/>
    <w:rsid w:val="00E67C7A"/>
    <w:rsid w:val="00E71038"/>
    <w:rsid w:val="00E73518"/>
    <w:rsid w:val="00E7354C"/>
    <w:rsid w:val="00E73E44"/>
    <w:rsid w:val="00E747B0"/>
    <w:rsid w:val="00E7506E"/>
    <w:rsid w:val="00E76385"/>
    <w:rsid w:val="00E80D47"/>
    <w:rsid w:val="00E81133"/>
    <w:rsid w:val="00E81752"/>
    <w:rsid w:val="00E81919"/>
    <w:rsid w:val="00E820AB"/>
    <w:rsid w:val="00E83BA1"/>
    <w:rsid w:val="00E84C03"/>
    <w:rsid w:val="00E853B2"/>
    <w:rsid w:val="00E90F31"/>
    <w:rsid w:val="00E94098"/>
    <w:rsid w:val="00E94EDC"/>
    <w:rsid w:val="00E95D24"/>
    <w:rsid w:val="00E95E2B"/>
    <w:rsid w:val="00E95E60"/>
    <w:rsid w:val="00EA0C70"/>
    <w:rsid w:val="00EA0E28"/>
    <w:rsid w:val="00EA190C"/>
    <w:rsid w:val="00EA2AE3"/>
    <w:rsid w:val="00EA4441"/>
    <w:rsid w:val="00EA4C6F"/>
    <w:rsid w:val="00EA5C5F"/>
    <w:rsid w:val="00EA732D"/>
    <w:rsid w:val="00EA738A"/>
    <w:rsid w:val="00EA7C3F"/>
    <w:rsid w:val="00EB0C85"/>
    <w:rsid w:val="00EB1BB1"/>
    <w:rsid w:val="00EB23D3"/>
    <w:rsid w:val="00EB4386"/>
    <w:rsid w:val="00EB5422"/>
    <w:rsid w:val="00EB6CB1"/>
    <w:rsid w:val="00EB754F"/>
    <w:rsid w:val="00EC007E"/>
    <w:rsid w:val="00EC2562"/>
    <w:rsid w:val="00EC3528"/>
    <w:rsid w:val="00EC3540"/>
    <w:rsid w:val="00EC3FD9"/>
    <w:rsid w:val="00EC4C35"/>
    <w:rsid w:val="00EC59B9"/>
    <w:rsid w:val="00EC5C3C"/>
    <w:rsid w:val="00EC681C"/>
    <w:rsid w:val="00ED0938"/>
    <w:rsid w:val="00ED2101"/>
    <w:rsid w:val="00ED2ACE"/>
    <w:rsid w:val="00ED3884"/>
    <w:rsid w:val="00ED4C17"/>
    <w:rsid w:val="00ED533F"/>
    <w:rsid w:val="00ED622F"/>
    <w:rsid w:val="00ED6387"/>
    <w:rsid w:val="00ED6E1A"/>
    <w:rsid w:val="00ED7A9E"/>
    <w:rsid w:val="00EE117A"/>
    <w:rsid w:val="00EE1673"/>
    <w:rsid w:val="00EE53CB"/>
    <w:rsid w:val="00EE5D66"/>
    <w:rsid w:val="00EE60E1"/>
    <w:rsid w:val="00EE6CC8"/>
    <w:rsid w:val="00EF0AC7"/>
    <w:rsid w:val="00EF1537"/>
    <w:rsid w:val="00EF191A"/>
    <w:rsid w:val="00EF2956"/>
    <w:rsid w:val="00EF2AF9"/>
    <w:rsid w:val="00EF764E"/>
    <w:rsid w:val="00F00089"/>
    <w:rsid w:val="00F01393"/>
    <w:rsid w:val="00F0283D"/>
    <w:rsid w:val="00F02CC1"/>
    <w:rsid w:val="00F04369"/>
    <w:rsid w:val="00F044E1"/>
    <w:rsid w:val="00F069F5"/>
    <w:rsid w:val="00F06B81"/>
    <w:rsid w:val="00F06C62"/>
    <w:rsid w:val="00F06E7A"/>
    <w:rsid w:val="00F06F9D"/>
    <w:rsid w:val="00F07285"/>
    <w:rsid w:val="00F075D0"/>
    <w:rsid w:val="00F07611"/>
    <w:rsid w:val="00F10647"/>
    <w:rsid w:val="00F116F7"/>
    <w:rsid w:val="00F1171A"/>
    <w:rsid w:val="00F140C1"/>
    <w:rsid w:val="00F14AAE"/>
    <w:rsid w:val="00F1581F"/>
    <w:rsid w:val="00F1596E"/>
    <w:rsid w:val="00F159EA"/>
    <w:rsid w:val="00F17414"/>
    <w:rsid w:val="00F17A5D"/>
    <w:rsid w:val="00F17AAF"/>
    <w:rsid w:val="00F17BB2"/>
    <w:rsid w:val="00F17C10"/>
    <w:rsid w:val="00F22D99"/>
    <w:rsid w:val="00F24CAA"/>
    <w:rsid w:val="00F25194"/>
    <w:rsid w:val="00F25BA5"/>
    <w:rsid w:val="00F268C7"/>
    <w:rsid w:val="00F27455"/>
    <w:rsid w:val="00F30EC8"/>
    <w:rsid w:val="00F31399"/>
    <w:rsid w:val="00F32BDC"/>
    <w:rsid w:val="00F33E7A"/>
    <w:rsid w:val="00F343A7"/>
    <w:rsid w:val="00F35104"/>
    <w:rsid w:val="00F35570"/>
    <w:rsid w:val="00F35659"/>
    <w:rsid w:val="00F35BEF"/>
    <w:rsid w:val="00F36D29"/>
    <w:rsid w:val="00F37073"/>
    <w:rsid w:val="00F37DAD"/>
    <w:rsid w:val="00F400D5"/>
    <w:rsid w:val="00F426E1"/>
    <w:rsid w:val="00F42A97"/>
    <w:rsid w:val="00F42DD2"/>
    <w:rsid w:val="00F42E62"/>
    <w:rsid w:val="00F44362"/>
    <w:rsid w:val="00F448E6"/>
    <w:rsid w:val="00F47D28"/>
    <w:rsid w:val="00F526F6"/>
    <w:rsid w:val="00F53163"/>
    <w:rsid w:val="00F53333"/>
    <w:rsid w:val="00F544FA"/>
    <w:rsid w:val="00F564A1"/>
    <w:rsid w:val="00F610D0"/>
    <w:rsid w:val="00F61323"/>
    <w:rsid w:val="00F62C72"/>
    <w:rsid w:val="00F63770"/>
    <w:rsid w:val="00F665E8"/>
    <w:rsid w:val="00F67020"/>
    <w:rsid w:val="00F70A98"/>
    <w:rsid w:val="00F71120"/>
    <w:rsid w:val="00F73A7F"/>
    <w:rsid w:val="00F73CB5"/>
    <w:rsid w:val="00F741D9"/>
    <w:rsid w:val="00F74936"/>
    <w:rsid w:val="00F74C72"/>
    <w:rsid w:val="00F7535B"/>
    <w:rsid w:val="00F76AFD"/>
    <w:rsid w:val="00F76D7B"/>
    <w:rsid w:val="00F771A8"/>
    <w:rsid w:val="00F80549"/>
    <w:rsid w:val="00F81013"/>
    <w:rsid w:val="00F815A4"/>
    <w:rsid w:val="00F83878"/>
    <w:rsid w:val="00F839C8"/>
    <w:rsid w:val="00F8433D"/>
    <w:rsid w:val="00F87506"/>
    <w:rsid w:val="00F9112F"/>
    <w:rsid w:val="00F9153E"/>
    <w:rsid w:val="00F92053"/>
    <w:rsid w:val="00F937EA"/>
    <w:rsid w:val="00F94064"/>
    <w:rsid w:val="00F94AC5"/>
    <w:rsid w:val="00F95B70"/>
    <w:rsid w:val="00F95B94"/>
    <w:rsid w:val="00F95C5D"/>
    <w:rsid w:val="00F9615D"/>
    <w:rsid w:val="00F96270"/>
    <w:rsid w:val="00FA083F"/>
    <w:rsid w:val="00FA1C06"/>
    <w:rsid w:val="00FA262F"/>
    <w:rsid w:val="00FA2709"/>
    <w:rsid w:val="00FA2B91"/>
    <w:rsid w:val="00FA4CDA"/>
    <w:rsid w:val="00FA4DAD"/>
    <w:rsid w:val="00FA525D"/>
    <w:rsid w:val="00FA5D65"/>
    <w:rsid w:val="00FA63AE"/>
    <w:rsid w:val="00FA7672"/>
    <w:rsid w:val="00FB04D1"/>
    <w:rsid w:val="00FB0E9F"/>
    <w:rsid w:val="00FB1608"/>
    <w:rsid w:val="00FB1A6D"/>
    <w:rsid w:val="00FB554B"/>
    <w:rsid w:val="00FB67E3"/>
    <w:rsid w:val="00FB74DD"/>
    <w:rsid w:val="00FB7872"/>
    <w:rsid w:val="00FC11C8"/>
    <w:rsid w:val="00FC18AA"/>
    <w:rsid w:val="00FC1BAB"/>
    <w:rsid w:val="00FC1E92"/>
    <w:rsid w:val="00FC2961"/>
    <w:rsid w:val="00FC3B9A"/>
    <w:rsid w:val="00FC5C38"/>
    <w:rsid w:val="00FC6B9F"/>
    <w:rsid w:val="00FC6F96"/>
    <w:rsid w:val="00FC7A1D"/>
    <w:rsid w:val="00FD0B8B"/>
    <w:rsid w:val="00FD145E"/>
    <w:rsid w:val="00FD1764"/>
    <w:rsid w:val="00FD25D4"/>
    <w:rsid w:val="00FD275C"/>
    <w:rsid w:val="00FD2A9B"/>
    <w:rsid w:val="00FD2B89"/>
    <w:rsid w:val="00FD2F08"/>
    <w:rsid w:val="00FD34CE"/>
    <w:rsid w:val="00FD387F"/>
    <w:rsid w:val="00FD3C57"/>
    <w:rsid w:val="00FD4250"/>
    <w:rsid w:val="00FD512C"/>
    <w:rsid w:val="00FD68D9"/>
    <w:rsid w:val="00FE16C2"/>
    <w:rsid w:val="00FE1FB2"/>
    <w:rsid w:val="00FE25A9"/>
    <w:rsid w:val="00FE48F2"/>
    <w:rsid w:val="00FE55DC"/>
    <w:rsid w:val="00FE7B26"/>
    <w:rsid w:val="00FE7F97"/>
    <w:rsid w:val="00FF2F89"/>
    <w:rsid w:val="00FF3B35"/>
    <w:rsid w:val="00FF3EB8"/>
    <w:rsid w:val="00FF44D9"/>
    <w:rsid w:val="00FF46E7"/>
    <w:rsid w:val="00FF4847"/>
    <w:rsid w:val="00FF6FB3"/>
    <w:rsid w:val="00FF78DB"/>
    <w:rsid w:val="01073C7E"/>
    <w:rsid w:val="0171F3A4"/>
    <w:rsid w:val="01A941C2"/>
    <w:rsid w:val="02544E27"/>
    <w:rsid w:val="025A73BE"/>
    <w:rsid w:val="027FF911"/>
    <w:rsid w:val="02A8C2C7"/>
    <w:rsid w:val="02B37735"/>
    <w:rsid w:val="02C113CD"/>
    <w:rsid w:val="03372BBA"/>
    <w:rsid w:val="045A0DB6"/>
    <w:rsid w:val="04E186AD"/>
    <w:rsid w:val="05891A3D"/>
    <w:rsid w:val="05B50445"/>
    <w:rsid w:val="06E26952"/>
    <w:rsid w:val="07472B27"/>
    <w:rsid w:val="075C6FE7"/>
    <w:rsid w:val="075DD525"/>
    <w:rsid w:val="0778C7B9"/>
    <w:rsid w:val="07AB2359"/>
    <w:rsid w:val="082FCFDF"/>
    <w:rsid w:val="08897D23"/>
    <w:rsid w:val="08A0B844"/>
    <w:rsid w:val="08A79B13"/>
    <w:rsid w:val="0903B1D5"/>
    <w:rsid w:val="09B5B40A"/>
    <w:rsid w:val="09C9D14D"/>
    <w:rsid w:val="0A0D9699"/>
    <w:rsid w:val="0A4DCAA1"/>
    <w:rsid w:val="0A765155"/>
    <w:rsid w:val="0A7D5ECB"/>
    <w:rsid w:val="0A99F1E3"/>
    <w:rsid w:val="0AC0FE0E"/>
    <w:rsid w:val="0B1AB244"/>
    <w:rsid w:val="0BA4040F"/>
    <w:rsid w:val="0C048DD7"/>
    <w:rsid w:val="0C1541DC"/>
    <w:rsid w:val="0CD0CACE"/>
    <w:rsid w:val="0CE6443B"/>
    <w:rsid w:val="0CEB351A"/>
    <w:rsid w:val="0CF29469"/>
    <w:rsid w:val="0D62B028"/>
    <w:rsid w:val="0D9374D5"/>
    <w:rsid w:val="0DDE9616"/>
    <w:rsid w:val="0E02BC1B"/>
    <w:rsid w:val="0E8CF600"/>
    <w:rsid w:val="0E996753"/>
    <w:rsid w:val="0EE09813"/>
    <w:rsid w:val="0F002065"/>
    <w:rsid w:val="0F06F8A1"/>
    <w:rsid w:val="10B51E8C"/>
    <w:rsid w:val="10C04403"/>
    <w:rsid w:val="1128F726"/>
    <w:rsid w:val="1139CFD0"/>
    <w:rsid w:val="11739687"/>
    <w:rsid w:val="1252AF6A"/>
    <w:rsid w:val="1279FB87"/>
    <w:rsid w:val="128A009F"/>
    <w:rsid w:val="128C4948"/>
    <w:rsid w:val="1294A976"/>
    <w:rsid w:val="1296CA3F"/>
    <w:rsid w:val="1297AC36"/>
    <w:rsid w:val="1309CAB1"/>
    <w:rsid w:val="132AB889"/>
    <w:rsid w:val="13C14732"/>
    <w:rsid w:val="144AAC63"/>
    <w:rsid w:val="14D60680"/>
    <w:rsid w:val="1630032A"/>
    <w:rsid w:val="166278DC"/>
    <w:rsid w:val="1769EEC3"/>
    <w:rsid w:val="17C8EBA7"/>
    <w:rsid w:val="17EEFB8B"/>
    <w:rsid w:val="182240DD"/>
    <w:rsid w:val="18D8F698"/>
    <w:rsid w:val="18EC2B11"/>
    <w:rsid w:val="193298AA"/>
    <w:rsid w:val="19683F9F"/>
    <w:rsid w:val="198335AC"/>
    <w:rsid w:val="19B88F36"/>
    <w:rsid w:val="19BE7DCB"/>
    <w:rsid w:val="19C63448"/>
    <w:rsid w:val="19DD9A89"/>
    <w:rsid w:val="1A995A90"/>
    <w:rsid w:val="1ABE129E"/>
    <w:rsid w:val="1AC4CB1F"/>
    <w:rsid w:val="1B20DEE4"/>
    <w:rsid w:val="1B2BF2DF"/>
    <w:rsid w:val="1B8D425C"/>
    <w:rsid w:val="1B9D7469"/>
    <w:rsid w:val="1BC2F133"/>
    <w:rsid w:val="1C5CB848"/>
    <w:rsid w:val="1C662D78"/>
    <w:rsid w:val="1C6AB10A"/>
    <w:rsid w:val="1CB1A2AE"/>
    <w:rsid w:val="1CC70C5B"/>
    <w:rsid w:val="1CC9F4E2"/>
    <w:rsid w:val="1CFB4E0A"/>
    <w:rsid w:val="1D6C92BB"/>
    <w:rsid w:val="1D8FF2AE"/>
    <w:rsid w:val="1DD5E918"/>
    <w:rsid w:val="1DF8D33E"/>
    <w:rsid w:val="1DFD5D9E"/>
    <w:rsid w:val="1E087245"/>
    <w:rsid w:val="1E3B04FF"/>
    <w:rsid w:val="1EC625F6"/>
    <w:rsid w:val="1EF93234"/>
    <w:rsid w:val="1FCC1E65"/>
    <w:rsid w:val="1FEDA6A2"/>
    <w:rsid w:val="20767E94"/>
    <w:rsid w:val="2081A2B6"/>
    <w:rsid w:val="2128FC4C"/>
    <w:rsid w:val="217B1965"/>
    <w:rsid w:val="21888246"/>
    <w:rsid w:val="21CD207C"/>
    <w:rsid w:val="21E37EB5"/>
    <w:rsid w:val="2285A2FF"/>
    <w:rsid w:val="23143215"/>
    <w:rsid w:val="231E2E8E"/>
    <w:rsid w:val="233722F5"/>
    <w:rsid w:val="23C9CD59"/>
    <w:rsid w:val="24BA8988"/>
    <w:rsid w:val="24BB7806"/>
    <w:rsid w:val="24F5877B"/>
    <w:rsid w:val="251467D7"/>
    <w:rsid w:val="2538A459"/>
    <w:rsid w:val="25447C03"/>
    <w:rsid w:val="25ACFA27"/>
    <w:rsid w:val="26502FF5"/>
    <w:rsid w:val="26BAA0C6"/>
    <w:rsid w:val="27846B69"/>
    <w:rsid w:val="27AAE8E9"/>
    <w:rsid w:val="28266465"/>
    <w:rsid w:val="28D61515"/>
    <w:rsid w:val="29054C3E"/>
    <w:rsid w:val="294DBA20"/>
    <w:rsid w:val="29C4BB0A"/>
    <w:rsid w:val="2A179E1F"/>
    <w:rsid w:val="2A9FFA26"/>
    <w:rsid w:val="2AB76F14"/>
    <w:rsid w:val="2ACFD2B7"/>
    <w:rsid w:val="2B083B92"/>
    <w:rsid w:val="2B690589"/>
    <w:rsid w:val="2BC5E47C"/>
    <w:rsid w:val="2C1AC1F3"/>
    <w:rsid w:val="2C267BFD"/>
    <w:rsid w:val="2C7900E8"/>
    <w:rsid w:val="2D8E79D3"/>
    <w:rsid w:val="2D94D714"/>
    <w:rsid w:val="2DBDE4E4"/>
    <w:rsid w:val="2E898717"/>
    <w:rsid w:val="2EC015DF"/>
    <w:rsid w:val="2EF27C92"/>
    <w:rsid w:val="2F57933E"/>
    <w:rsid w:val="2F705863"/>
    <w:rsid w:val="2F9B7DE8"/>
    <w:rsid w:val="30771B04"/>
    <w:rsid w:val="30844F15"/>
    <w:rsid w:val="30A0C93E"/>
    <w:rsid w:val="31046DC2"/>
    <w:rsid w:val="31264401"/>
    <w:rsid w:val="31510975"/>
    <w:rsid w:val="3187D0F9"/>
    <w:rsid w:val="31A7DCD4"/>
    <w:rsid w:val="31EE3123"/>
    <w:rsid w:val="320B6115"/>
    <w:rsid w:val="327314FD"/>
    <w:rsid w:val="3277208D"/>
    <w:rsid w:val="328ED1BA"/>
    <w:rsid w:val="32E98772"/>
    <w:rsid w:val="33472F07"/>
    <w:rsid w:val="3377F584"/>
    <w:rsid w:val="33897B4E"/>
    <w:rsid w:val="33A09CB4"/>
    <w:rsid w:val="33B99432"/>
    <w:rsid w:val="33E4CE46"/>
    <w:rsid w:val="349D6A0C"/>
    <w:rsid w:val="36351966"/>
    <w:rsid w:val="36387171"/>
    <w:rsid w:val="369A75F0"/>
    <w:rsid w:val="373A4D99"/>
    <w:rsid w:val="3765311D"/>
    <w:rsid w:val="381B7A2F"/>
    <w:rsid w:val="382ABB6D"/>
    <w:rsid w:val="3832CE14"/>
    <w:rsid w:val="386C2BCF"/>
    <w:rsid w:val="38819F6B"/>
    <w:rsid w:val="38BBCCEB"/>
    <w:rsid w:val="38EDFB08"/>
    <w:rsid w:val="39102866"/>
    <w:rsid w:val="3A44E011"/>
    <w:rsid w:val="3A4A817C"/>
    <w:rsid w:val="3A87CE31"/>
    <w:rsid w:val="3A8B9972"/>
    <w:rsid w:val="3AC0E667"/>
    <w:rsid w:val="3AD0A928"/>
    <w:rsid w:val="3B1E40F9"/>
    <w:rsid w:val="3B60E4B0"/>
    <w:rsid w:val="3B9EB9E4"/>
    <w:rsid w:val="3BF72A2C"/>
    <w:rsid w:val="3D2F9284"/>
    <w:rsid w:val="3D4190D8"/>
    <w:rsid w:val="3D518259"/>
    <w:rsid w:val="3D5CD64F"/>
    <w:rsid w:val="3DD87511"/>
    <w:rsid w:val="3E4684B9"/>
    <w:rsid w:val="3E491CA7"/>
    <w:rsid w:val="3E6F816A"/>
    <w:rsid w:val="3E78EC9D"/>
    <w:rsid w:val="3F14502B"/>
    <w:rsid w:val="3F320327"/>
    <w:rsid w:val="3FBAFE1E"/>
    <w:rsid w:val="3FC6CCBB"/>
    <w:rsid w:val="403600EB"/>
    <w:rsid w:val="409B78B2"/>
    <w:rsid w:val="40D0B706"/>
    <w:rsid w:val="4107D49C"/>
    <w:rsid w:val="41BB1D17"/>
    <w:rsid w:val="422ED0F4"/>
    <w:rsid w:val="4275C3A0"/>
    <w:rsid w:val="43378678"/>
    <w:rsid w:val="43A71A46"/>
    <w:rsid w:val="43F447BB"/>
    <w:rsid w:val="44165D89"/>
    <w:rsid w:val="4484B499"/>
    <w:rsid w:val="44AEE6E3"/>
    <w:rsid w:val="44D34BDA"/>
    <w:rsid w:val="450DD855"/>
    <w:rsid w:val="457548E9"/>
    <w:rsid w:val="47889B45"/>
    <w:rsid w:val="47BC1B0D"/>
    <w:rsid w:val="484513FB"/>
    <w:rsid w:val="4872AF03"/>
    <w:rsid w:val="489AA422"/>
    <w:rsid w:val="48DA499C"/>
    <w:rsid w:val="4976E580"/>
    <w:rsid w:val="497AD671"/>
    <w:rsid w:val="497DBEB1"/>
    <w:rsid w:val="49D54F22"/>
    <w:rsid w:val="49DD5B87"/>
    <w:rsid w:val="49F8DE7C"/>
    <w:rsid w:val="4A53606F"/>
    <w:rsid w:val="4A8E8ABB"/>
    <w:rsid w:val="4B3FA259"/>
    <w:rsid w:val="4B42DBBF"/>
    <w:rsid w:val="4BC7BA3B"/>
    <w:rsid w:val="4C28C56A"/>
    <w:rsid w:val="4C3AF675"/>
    <w:rsid w:val="4C44AA06"/>
    <w:rsid w:val="4D5DC0B2"/>
    <w:rsid w:val="4DA48E3A"/>
    <w:rsid w:val="4E46F5C7"/>
    <w:rsid w:val="4F195730"/>
    <w:rsid w:val="4F221D24"/>
    <w:rsid w:val="4F9B3EF9"/>
    <w:rsid w:val="4FE16C97"/>
    <w:rsid w:val="509EC9F3"/>
    <w:rsid w:val="50D4F73D"/>
    <w:rsid w:val="50F314FD"/>
    <w:rsid w:val="5178EF9E"/>
    <w:rsid w:val="51B1D062"/>
    <w:rsid w:val="51B62F48"/>
    <w:rsid w:val="51F96309"/>
    <w:rsid w:val="523BB491"/>
    <w:rsid w:val="5339E02F"/>
    <w:rsid w:val="5386D041"/>
    <w:rsid w:val="53E6E7CD"/>
    <w:rsid w:val="53ED5695"/>
    <w:rsid w:val="53F5354C"/>
    <w:rsid w:val="54AEECC1"/>
    <w:rsid w:val="54CAFD36"/>
    <w:rsid w:val="553151AF"/>
    <w:rsid w:val="554282E6"/>
    <w:rsid w:val="555503F0"/>
    <w:rsid w:val="559F68F1"/>
    <w:rsid w:val="55CFC8D1"/>
    <w:rsid w:val="562D4B39"/>
    <w:rsid w:val="5679B027"/>
    <w:rsid w:val="56EA1EDB"/>
    <w:rsid w:val="5791E447"/>
    <w:rsid w:val="57D5D29B"/>
    <w:rsid w:val="58364D00"/>
    <w:rsid w:val="586752A3"/>
    <w:rsid w:val="588ECEB6"/>
    <w:rsid w:val="593C405F"/>
    <w:rsid w:val="593E58A7"/>
    <w:rsid w:val="59C226E2"/>
    <w:rsid w:val="59EF4BFB"/>
    <w:rsid w:val="5A411E49"/>
    <w:rsid w:val="5A6C11CC"/>
    <w:rsid w:val="5AEB06AC"/>
    <w:rsid w:val="5B044452"/>
    <w:rsid w:val="5B8AABEC"/>
    <w:rsid w:val="5BA025D3"/>
    <w:rsid w:val="5BB55BC3"/>
    <w:rsid w:val="5C43F7C6"/>
    <w:rsid w:val="5C5D5DFA"/>
    <w:rsid w:val="5C692F1A"/>
    <w:rsid w:val="5C9A0D17"/>
    <w:rsid w:val="5D822450"/>
    <w:rsid w:val="5DC98BB1"/>
    <w:rsid w:val="5E18C5BF"/>
    <w:rsid w:val="5E29C0E1"/>
    <w:rsid w:val="5E356CE8"/>
    <w:rsid w:val="5E4B4599"/>
    <w:rsid w:val="5E858AD2"/>
    <w:rsid w:val="5EC30A1A"/>
    <w:rsid w:val="5EDAE0C2"/>
    <w:rsid w:val="5EE5D324"/>
    <w:rsid w:val="5EFEF991"/>
    <w:rsid w:val="5F32F352"/>
    <w:rsid w:val="5F6AC54B"/>
    <w:rsid w:val="5F8D0B5B"/>
    <w:rsid w:val="5F97DCCE"/>
    <w:rsid w:val="5FAF0480"/>
    <w:rsid w:val="609C9F70"/>
    <w:rsid w:val="60BAC4B5"/>
    <w:rsid w:val="60F2A7B7"/>
    <w:rsid w:val="60F468E7"/>
    <w:rsid w:val="60FDEE77"/>
    <w:rsid w:val="6131F79F"/>
    <w:rsid w:val="6131F9B3"/>
    <w:rsid w:val="61EC4515"/>
    <w:rsid w:val="622C5A11"/>
    <w:rsid w:val="6270B907"/>
    <w:rsid w:val="62F088F0"/>
    <w:rsid w:val="631AB829"/>
    <w:rsid w:val="64307DD4"/>
    <w:rsid w:val="648CCB66"/>
    <w:rsid w:val="64DE724A"/>
    <w:rsid w:val="64ECE4C8"/>
    <w:rsid w:val="6520C2F8"/>
    <w:rsid w:val="6552CB55"/>
    <w:rsid w:val="65DFA4A1"/>
    <w:rsid w:val="65ECF9E7"/>
    <w:rsid w:val="663D00DA"/>
    <w:rsid w:val="66DCE59F"/>
    <w:rsid w:val="66E36A1C"/>
    <w:rsid w:val="678E69C3"/>
    <w:rsid w:val="6805D806"/>
    <w:rsid w:val="68BB8FEF"/>
    <w:rsid w:val="6965BCD6"/>
    <w:rsid w:val="69EFB4BA"/>
    <w:rsid w:val="6A43723D"/>
    <w:rsid w:val="6A7BC16F"/>
    <w:rsid w:val="6ADBDADC"/>
    <w:rsid w:val="6ADF42BD"/>
    <w:rsid w:val="6B561DFA"/>
    <w:rsid w:val="6BB6C95E"/>
    <w:rsid w:val="6C185BF1"/>
    <w:rsid w:val="6C59E131"/>
    <w:rsid w:val="6C60B196"/>
    <w:rsid w:val="6C65B652"/>
    <w:rsid w:val="6CAA10CF"/>
    <w:rsid w:val="6DE57A12"/>
    <w:rsid w:val="6E12B9F8"/>
    <w:rsid w:val="6E49AB50"/>
    <w:rsid w:val="6E8AE545"/>
    <w:rsid w:val="6EBC2BD0"/>
    <w:rsid w:val="6EE4B2F7"/>
    <w:rsid w:val="6F2986E7"/>
    <w:rsid w:val="6F4186E2"/>
    <w:rsid w:val="6FBF5272"/>
    <w:rsid w:val="7049DF9C"/>
    <w:rsid w:val="70580B55"/>
    <w:rsid w:val="70AE1CA4"/>
    <w:rsid w:val="70B3EF0A"/>
    <w:rsid w:val="70C0D62A"/>
    <w:rsid w:val="712860CC"/>
    <w:rsid w:val="714CFBA6"/>
    <w:rsid w:val="71526EAD"/>
    <w:rsid w:val="715D2F8D"/>
    <w:rsid w:val="726F5369"/>
    <w:rsid w:val="72BB05F2"/>
    <w:rsid w:val="72BB4639"/>
    <w:rsid w:val="72D9D515"/>
    <w:rsid w:val="72E3395A"/>
    <w:rsid w:val="72E9B440"/>
    <w:rsid w:val="730C5F17"/>
    <w:rsid w:val="7337D67B"/>
    <w:rsid w:val="73F435DA"/>
    <w:rsid w:val="753473BA"/>
    <w:rsid w:val="7535C35A"/>
    <w:rsid w:val="755E458D"/>
    <w:rsid w:val="756531F1"/>
    <w:rsid w:val="75D5D055"/>
    <w:rsid w:val="761B98C7"/>
    <w:rsid w:val="76507F84"/>
    <w:rsid w:val="775BCBCE"/>
    <w:rsid w:val="77673896"/>
    <w:rsid w:val="779EE34D"/>
    <w:rsid w:val="782C1955"/>
    <w:rsid w:val="78433F47"/>
    <w:rsid w:val="7A0E629E"/>
    <w:rsid w:val="7A52ED3F"/>
    <w:rsid w:val="7B81ED8A"/>
    <w:rsid w:val="7BC7FA69"/>
    <w:rsid w:val="7BF8E6B5"/>
    <w:rsid w:val="7C564B60"/>
    <w:rsid w:val="7CC4DBC5"/>
    <w:rsid w:val="7CD3A3B8"/>
    <w:rsid w:val="7CD6745C"/>
    <w:rsid w:val="7CF83C38"/>
    <w:rsid w:val="7D2B7180"/>
    <w:rsid w:val="7D3B9DB6"/>
    <w:rsid w:val="7E206D35"/>
    <w:rsid w:val="7F09EB43"/>
    <w:rsid w:val="7F0DEF62"/>
    <w:rsid w:val="7F7CDCFD"/>
    <w:rsid w:val="7FD702DB"/>
    <w:rsid w:val="7FFB3E1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7A805"/>
  <w15:chartTrackingRefBased/>
  <w15:docId w15:val="{3FD2949E-463D-4C41-B6D7-C9B16430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2"/>
        <w:szCs w:val="22"/>
        <w:lang w:val="en-AU" w:eastAsia="en-US" w:bidi="ar-SA"/>
      </w:rPr>
    </w:rPrDefault>
    <w:pPrDefault>
      <w:pPr>
        <w:spacing w:before="120" w:after="200" w:line="280" w:lineRule="exact"/>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qFormat="1"/>
    <w:lsdException w:name="toc 2" w:locked="0" w:semiHidden="1" w:uiPriority="39"/>
    <w:lsdException w:name="toc 3" w:locked="0"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semiHidden="1"/>
    <w:lsdException w:name="header" w:semiHidden="1"/>
    <w:lsdException w:name="footer" w:locked="0" w:semiHidden="1" w:uiPriority="0" w:unhideWhenUsed="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locked="0" w:semiHidden="1"/>
    <w:lsdException w:name="List" w:semiHidden="1"/>
    <w:lsdException w:name="List Bullet" w:locked="0" w:semiHidden="1" w:uiPriority="0"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semiHidden="1" w:uiPriority="1" w:unhideWhenUsed="1"/>
    <w:lsdException w:name="Body Text" w:locked="0" w:semiHidden="1"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0"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D867E0"/>
  </w:style>
  <w:style w:type="paragraph" w:styleId="Heading1">
    <w:name w:val="heading 1"/>
    <w:basedOn w:val="Normal"/>
    <w:next w:val="BodyText"/>
    <w:link w:val="Heading1Char"/>
    <w:qFormat/>
    <w:rsid w:val="00A91AFB"/>
    <w:pPr>
      <w:keepNext/>
      <w:keepLines/>
      <w:spacing w:after="560" w:line="620" w:lineRule="exact"/>
      <w:outlineLvl w:val="0"/>
    </w:pPr>
    <w:rPr>
      <w:rFonts w:ascii="Arial" w:eastAsiaTheme="majorEastAsia" w:hAnsi="Arial" w:cstheme="majorBidi"/>
      <w:color w:val="002060"/>
      <w:sz w:val="48"/>
      <w:szCs w:val="32"/>
    </w:rPr>
  </w:style>
  <w:style w:type="paragraph" w:styleId="Heading2">
    <w:name w:val="heading 2"/>
    <w:basedOn w:val="Normal"/>
    <w:next w:val="BodyText"/>
    <w:link w:val="Heading2Char"/>
    <w:qFormat/>
    <w:rsid w:val="00A91AFB"/>
    <w:pPr>
      <w:keepNext/>
      <w:keepLines/>
      <w:suppressAutoHyphens/>
      <w:spacing w:before="400" w:line="440" w:lineRule="exact"/>
      <w:outlineLvl w:val="1"/>
    </w:pPr>
    <w:rPr>
      <w:rFonts w:ascii="Arial" w:eastAsiaTheme="majorEastAsia" w:hAnsi="Arial" w:cstheme="majorBidi"/>
      <w:color w:val="002060"/>
      <w:sz w:val="36"/>
      <w:szCs w:val="26"/>
    </w:rPr>
  </w:style>
  <w:style w:type="paragraph" w:styleId="Heading3">
    <w:name w:val="heading 3"/>
    <w:basedOn w:val="Normal"/>
    <w:next w:val="BodyText"/>
    <w:link w:val="Heading3Char"/>
    <w:qFormat/>
    <w:rsid w:val="000601BE"/>
    <w:pPr>
      <w:keepNext/>
      <w:keepLines/>
      <w:spacing w:before="400"/>
      <w:outlineLvl w:val="2"/>
    </w:pPr>
    <w:rPr>
      <w:rFonts w:ascii="Arial" w:eastAsiaTheme="majorEastAsia"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A19C6"/>
    <w:pPr>
      <w:suppressAutoHyphens/>
      <w:spacing w:after="120"/>
    </w:pPr>
    <w:rPr>
      <w:rFonts w:ascii="Arial" w:hAnsi="Arial"/>
    </w:rPr>
  </w:style>
  <w:style w:type="character" w:customStyle="1" w:styleId="BodyTextChar">
    <w:name w:val="Body Text Char"/>
    <w:basedOn w:val="DefaultParagraphFont"/>
    <w:link w:val="BodyText"/>
    <w:rsid w:val="001A19C6"/>
    <w:rPr>
      <w:rFonts w:ascii="Arial" w:hAnsi="Arial"/>
    </w:rPr>
  </w:style>
  <w:style w:type="paragraph" w:customStyle="1" w:styleId="BackPage">
    <w:name w:val="Back Page"/>
    <w:basedOn w:val="Normal"/>
    <w:qFormat/>
    <w:rsid w:val="002D46E0"/>
    <w:pPr>
      <w:suppressAutoHyphens/>
      <w:spacing w:after="113" w:line="310" w:lineRule="exact"/>
    </w:pPr>
  </w:style>
  <w:style w:type="paragraph" w:styleId="ListBullet">
    <w:name w:val="List Bullet"/>
    <w:aliases w:val="Bullet"/>
    <w:basedOn w:val="Normal"/>
    <w:qFormat/>
    <w:rsid w:val="000601BE"/>
    <w:pPr>
      <w:numPr>
        <w:numId w:val="2"/>
      </w:numPr>
      <w:suppressAutoHyphens/>
      <w:spacing w:after="120"/>
    </w:pPr>
    <w:rPr>
      <w:rFonts w:ascii="Arial" w:hAnsi="Arial"/>
    </w:rPr>
  </w:style>
  <w:style w:type="paragraph" w:customStyle="1" w:styleId="BulletNumbered">
    <w:name w:val="Bullet Numbered"/>
    <w:basedOn w:val="ListBullet"/>
    <w:qFormat/>
    <w:rsid w:val="00987BC9"/>
    <w:pPr>
      <w:numPr>
        <w:numId w:val="0"/>
      </w:numPr>
      <w:ind w:left="590" w:hanging="363"/>
    </w:pPr>
  </w:style>
  <w:style w:type="paragraph" w:styleId="Footer">
    <w:name w:val="footer"/>
    <w:basedOn w:val="Normal"/>
    <w:link w:val="FooterChar"/>
    <w:qFormat/>
    <w:rsid w:val="00017CDA"/>
    <w:pPr>
      <w:tabs>
        <w:tab w:val="right" w:pos="10206"/>
      </w:tabs>
      <w:spacing w:line="280" w:lineRule="atLeast"/>
    </w:pPr>
    <w:rPr>
      <w:rFonts w:ascii="Arial" w:hAnsi="Arial"/>
      <w:color w:val="auto"/>
      <w:sz w:val="20"/>
    </w:rPr>
  </w:style>
  <w:style w:type="character" w:customStyle="1" w:styleId="FooterChar">
    <w:name w:val="Footer Char"/>
    <w:basedOn w:val="DefaultParagraphFont"/>
    <w:link w:val="Footer"/>
    <w:rsid w:val="00017CDA"/>
    <w:rPr>
      <w:rFonts w:ascii="Arial" w:hAnsi="Arial"/>
      <w:color w:val="auto"/>
      <w:sz w:val="20"/>
    </w:rPr>
  </w:style>
  <w:style w:type="character" w:customStyle="1" w:styleId="Heading1Char">
    <w:name w:val="Heading 1 Char"/>
    <w:basedOn w:val="DefaultParagraphFont"/>
    <w:link w:val="Heading1"/>
    <w:rsid w:val="00A91AFB"/>
    <w:rPr>
      <w:rFonts w:ascii="Arial" w:eastAsiaTheme="majorEastAsia" w:hAnsi="Arial" w:cstheme="majorBidi"/>
      <w:color w:val="002060"/>
      <w:sz w:val="48"/>
      <w:szCs w:val="32"/>
    </w:rPr>
  </w:style>
  <w:style w:type="character" w:customStyle="1" w:styleId="Heading2Char">
    <w:name w:val="Heading 2 Char"/>
    <w:basedOn w:val="DefaultParagraphFont"/>
    <w:link w:val="Heading2"/>
    <w:rsid w:val="00A91AFB"/>
    <w:rPr>
      <w:rFonts w:ascii="Arial" w:eastAsiaTheme="majorEastAsia" w:hAnsi="Arial" w:cstheme="majorBidi"/>
      <w:color w:val="002060"/>
      <w:sz w:val="36"/>
      <w:szCs w:val="26"/>
    </w:rPr>
  </w:style>
  <w:style w:type="character" w:customStyle="1" w:styleId="Heading3Char">
    <w:name w:val="Heading 3 Char"/>
    <w:basedOn w:val="DefaultParagraphFont"/>
    <w:link w:val="Heading3"/>
    <w:rsid w:val="000601BE"/>
    <w:rPr>
      <w:rFonts w:ascii="Arial" w:eastAsiaTheme="majorEastAsia" w:hAnsi="Arial" w:cstheme="majorBidi"/>
      <w:sz w:val="24"/>
      <w:szCs w:val="24"/>
    </w:rPr>
  </w:style>
  <w:style w:type="paragraph" w:styleId="Subtitle">
    <w:name w:val="Subtitle"/>
    <w:aliases w:val="Full title"/>
    <w:basedOn w:val="Normal"/>
    <w:next w:val="BodyText"/>
    <w:link w:val="SubtitleChar"/>
    <w:uiPriority w:val="11"/>
    <w:qFormat/>
    <w:rsid w:val="007147C3"/>
    <w:pPr>
      <w:numPr>
        <w:ilvl w:val="1"/>
      </w:numPr>
      <w:suppressAutoHyphens/>
    </w:pPr>
    <w:rPr>
      <w:rFonts w:ascii="Arial" w:eastAsiaTheme="minorEastAsia" w:hAnsi="Arial"/>
      <w:sz w:val="44"/>
    </w:rPr>
  </w:style>
  <w:style w:type="character" w:customStyle="1" w:styleId="SubtitleChar">
    <w:name w:val="Subtitle Char"/>
    <w:aliases w:val="Full title Char"/>
    <w:basedOn w:val="DefaultParagraphFont"/>
    <w:link w:val="Subtitle"/>
    <w:uiPriority w:val="11"/>
    <w:rsid w:val="007147C3"/>
    <w:rPr>
      <w:rFonts w:ascii="Arial" w:eastAsiaTheme="minorEastAsia" w:hAnsi="Arial"/>
      <w:sz w:val="44"/>
    </w:rPr>
  </w:style>
  <w:style w:type="paragraph" w:styleId="Title">
    <w:name w:val="Title"/>
    <w:aliases w:val="Short Title"/>
    <w:basedOn w:val="Normal"/>
    <w:next w:val="BodyText"/>
    <w:link w:val="TitleChar"/>
    <w:uiPriority w:val="10"/>
    <w:qFormat/>
    <w:rsid w:val="007147C3"/>
    <w:pPr>
      <w:suppressAutoHyphens/>
      <w:spacing w:line="880" w:lineRule="exact"/>
    </w:pPr>
    <w:rPr>
      <w:rFonts w:ascii="Arial" w:eastAsiaTheme="majorEastAsia" w:hAnsi="Arial" w:cstheme="majorBidi"/>
      <w:sz w:val="64"/>
      <w:szCs w:val="56"/>
    </w:rPr>
  </w:style>
  <w:style w:type="character" w:customStyle="1" w:styleId="TitleChar">
    <w:name w:val="Title Char"/>
    <w:aliases w:val="Short Title Char"/>
    <w:basedOn w:val="DefaultParagraphFont"/>
    <w:link w:val="Title"/>
    <w:uiPriority w:val="10"/>
    <w:rsid w:val="007147C3"/>
    <w:rPr>
      <w:rFonts w:ascii="Arial" w:eastAsiaTheme="majorEastAsia" w:hAnsi="Arial" w:cstheme="majorBidi"/>
      <w:sz w:val="64"/>
      <w:szCs w:val="56"/>
    </w:rPr>
  </w:style>
  <w:style w:type="paragraph" w:styleId="Header">
    <w:name w:val="header"/>
    <w:basedOn w:val="Normal"/>
    <w:link w:val="HeaderChar"/>
    <w:uiPriority w:val="99"/>
    <w:semiHidden/>
    <w:locked/>
    <w:rsid w:val="004E78DD"/>
    <w:pPr>
      <w:tabs>
        <w:tab w:val="center" w:pos="4513"/>
        <w:tab w:val="right" w:pos="9026"/>
      </w:tabs>
    </w:pPr>
  </w:style>
  <w:style w:type="character" w:customStyle="1" w:styleId="HeaderChar">
    <w:name w:val="Header Char"/>
    <w:basedOn w:val="DefaultParagraphFont"/>
    <w:link w:val="Header"/>
    <w:uiPriority w:val="99"/>
    <w:semiHidden/>
    <w:rsid w:val="004E78DD"/>
  </w:style>
  <w:style w:type="character" w:styleId="PageNumber">
    <w:name w:val="page number"/>
    <w:basedOn w:val="DefaultParagraphFont"/>
    <w:uiPriority w:val="99"/>
    <w:semiHidden/>
    <w:locked/>
    <w:rsid w:val="004E78DD"/>
  </w:style>
  <w:style w:type="table" w:styleId="TableGrid">
    <w:name w:val="Table Grid"/>
    <w:basedOn w:val="TableNormal"/>
    <w:uiPriority w:val="39"/>
    <w:rsid w:val="008F3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Italic"/>
    <w:basedOn w:val="Emphasis"/>
    <w:uiPriority w:val="1"/>
    <w:qFormat/>
    <w:rsid w:val="00BB7652"/>
    <w:rPr>
      <w:rFonts w:ascii="Arial" w:hAnsi="Arial"/>
      <w:i/>
      <w:iCs/>
      <w:sz w:val="22"/>
    </w:rPr>
  </w:style>
  <w:style w:type="character" w:customStyle="1" w:styleId="BodytextBold">
    <w:name w:val="Body text Bold"/>
    <w:basedOn w:val="Strong"/>
    <w:uiPriority w:val="1"/>
    <w:qFormat/>
    <w:rsid w:val="00BB7652"/>
    <w:rPr>
      <w:rFonts w:ascii="Arial" w:hAnsi="Arial"/>
      <w:b/>
      <w:bCs/>
      <w:color w:val="000000" w:themeColor="text1"/>
      <w:sz w:val="22"/>
    </w:rPr>
  </w:style>
  <w:style w:type="character" w:styleId="Emphasis">
    <w:name w:val="Emphasis"/>
    <w:basedOn w:val="DefaultParagraphFont"/>
    <w:uiPriority w:val="20"/>
    <w:qFormat/>
    <w:locked/>
    <w:rsid w:val="00C71EA1"/>
    <w:rPr>
      <w:i/>
      <w:iCs/>
    </w:rPr>
  </w:style>
  <w:style w:type="character" w:styleId="Strong">
    <w:name w:val="Strong"/>
    <w:basedOn w:val="DefaultParagraphFont"/>
    <w:uiPriority w:val="22"/>
    <w:semiHidden/>
    <w:qFormat/>
    <w:locked/>
    <w:rsid w:val="001705F1"/>
    <w:rPr>
      <w:b/>
      <w:bCs/>
    </w:rPr>
  </w:style>
  <w:style w:type="paragraph" w:styleId="TOCHeading">
    <w:name w:val="TOC Heading"/>
    <w:basedOn w:val="Heading1"/>
    <w:next w:val="Normal"/>
    <w:uiPriority w:val="39"/>
    <w:semiHidden/>
    <w:qFormat/>
    <w:rsid w:val="003C5DF5"/>
    <w:pPr>
      <w:spacing w:before="240" w:after="0" w:line="259" w:lineRule="auto"/>
      <w:outlineLvl w:val="9"/>
    </w:pPr>
    <w:rPr>
      <w:color w:val="2E74B5" w:themeColor="accent1" w:themeShade="BF"/>
      <w:sz w:val="32"/>
    </w:rPr>
  </w:style>
  <w:style w:type="paragraph" w:styleId="TOC1">
    <w:name w:val="toc 1"/>
    <w:basedOn w:val="Normal"/>
    <w:next w:val="Normal"/>
    <w:autoRedefine/>
    <w:uiPriority w:val="39"/>
    <w:qFormat/>
    <w:rsid w:val="00E71038"/>
    <w:pPr>
      <w:spacing w:after="100"/>
    </w:pPr>
    <w:rPr>
      <w:rFonts w:ascii="Arial" w:hAnsi="Arial"/>
      <w:b/>
    </w:rPr>
  </w:style>
  <w:style w:type="paragraph" w:styleId="TOC2">
    <w:name w:val="toc 2"/>
    <w:basedOn w:val="Normal"/>
    <w:next w:val="Normal"/>
    <w:autoRedefine/>
    <w:uiPriority w:val="39"/>
    <w:rsid w:val="00E71038"/>
    <w:pPr>
      <w:tabs>
        <w:tab w:val="right" w:leader="dot" w:pos="10194"/>
      </w:tabs>
      <w:spacing w:after="100"/>
      <w:ind w:left="220"/>
    </w:pPr>
    <w:rPr>
      <w:rFonts w:ascii="Arial" w:hAnsi="Arial" w:cs="Arial"/>
      <w:noProof/>
    </w:rPr>
  </w:style>
  <w:style w:type="paragraph" w:styleId="TOC3">
    <w:name w:val="toc 3"/>
    <w:basedOn w:val="Normal"/>
    <w:next w:val="Normal"/>
    <w:autoRedefine/>
    <w:uiPriority w:val="39"/>
    <w:rsid w:val="003C5DF5"/>
    <w:pPr>
      <w:spacing w:after="100"/>
      <w:ind w:left="440"/>
    </w:pPr>
  </w:style>
  <w:style w:type="character" w:customStyle="1" w:styleId="Instructions">
    <w:name w:val="Instructions"/>
    <w:basedOn w:val="CommentReference"/>
    <w:uiPriority w:val="1"/>
    <w:qFormat/>
    <w:rsid w:val="00017CDA"/>
    <w:rPr>
      <w:rFonts w:ascii="Arial" w:hAnsi="Arial"/>
      <w:vanish w:val="0"/>
      <w:color w:val="0070C0"/>
      <w:sz w:val="22"/>
      <w:szCs w:val="16"/>
      <w:u w:val="dotted"/>
    </w:rPr>
  </w:style>
  <w:style w:type="character" w:styleId="CommentReference">
    <w:name w:val="annotation reference"/>
    <w:basedOn w:val="DefaultParagraphFont"/>
    <w:uiPriority w:val="99"/>
    <w:semiHidden/>
    <w:locked/>
    <w:rsid w:val="00D1200B"/>
    <w:rPr>
      <w:sz w:val="16"/>
      <w:szCs w:val="16"/>
    </w:rPr>
  </w:style>
  <w:style w:type="character" w:styleId="Hyperlink">
    <w:name w:val="Hyperlink"/>
    <w:basedOn w:val="DefaultParagraphFont"/>
    <w:uiPriority w:val="99"/>
    <w:locked/>
    <w:rsid w:val="00742F28"/>
    <w:rPr>
      <w:color w:val="0563C1" w:themeColor="hyperlink"/>
      <w:u w:val="single"/>
    </w:rPr>
  </w:style>
  <w:style w:type="paragraph" w:customStyle="1" w:styleId="Tabletext">
    <w:name w:val="Table text"/>
    <w:basedOn w:val="BodyText"/>
    <w:qFormat/>
    <w:rsid w:val="000601BE"/>
    <w:pPr>
      <w:spacing w:before="0" w:after="0" w:line="240" w:lineRule="auto"/>
    </w:pPr>
    <w:rPr>
      <w:sz w:val="20"/>
    </w:rPr>
  </w:style>
  <w:style w:type="character" w:customStyle="1" w:styleId="BoldItalic">
    <w:name w:val="Bold &amp; Italic"/>
    <w:basedOn w:val="BodytextBold"/>
    <w:uiPriority w:val="1"/>
    <w:qFormat/>
    <w:rsid w:val="00BB7652"/>
    <w:rPr>
      <w:rFonts w:ascii="Arial" w:eastAsiaTheme="minorHAnsi" w:hAnsi="Arial" w:cstheme="minorBidi"/>
      <w:b/>
      <w:bCs/>
      <w:i/>
      <w:color w:val="000000" w:themeColor="text1"/>
      <w:sz w:val="22"/>
      <w:szCs w:val="22"/>
    </w:rPr>
  </w:style>
  <w:style w:type="character" w:styleId="FootnoteReference">
    <w:name w:val="footnote reference"/>
    <w:basedOn w:val="DefaultParagraphFont"/>
    <w:uiPriority w:val="99"/>
    <w:qFormat/>
    <w:rsid w:val="00BB7652"/>
    <w:rPr>
      <w:rFonts w:ascii="Arial" w:hAnsi="Arial"/>
      <w:sz w:val="18"/>
      <w:vertAlign w:val="superscript"/>
    </w:rPr>
  </w:style>
  <w:style w:type="paragraph" w:styleId="FootnoteText">
    <w:name w:val="footnote text"/>
    <w:basedOn w:val="Normal"/>
    <w:link w:val="FootnoteTextChar"/>
    <w:uiPriority w:val="99"/>
    <w:rsid w:val="00D867E0"/>
    <w:pPr>
      <w:spacing w:before="0" w:after="0" w:line="240" w:lineRule="auto"/>
    </w:pPr>
    <w:rPr>
      <w:sz w:val="20"/>
      <w:szCs w:val="20"/>
    </w:rPr>
  </w:style>
  <w:style w:type="character" w:customStyle="1" w:styleId="FootnoteTextChar">
    <w:name w:val="Footnote Text Char"/>
    <w:basedOn w:val="DefaultParagraphFont"/>
    <w:link w:val="FootnoteText"/>
    <w:uiPriority w:val="99"/>
    <w:rsid w:val="00D867E0"/>
    <w:rPr>
      <w:sz w:val="20"/>
      <w:szCs w:val="20"/>
    </w:rPr>
  </w:style>
  <w:style w:type="paragraph" w:styleId="ListParagraph">
    <w:name w:val="List Paragraph"/>
    <w:aliases w:val="List level 1"/>
    <w:basedOn w:val="Normal"/>
    <w:uiPriority w:val="34"/>
    <w:qFormat/>
    <w:locked/>
    <w:rsid w:val="00D50E88"/>
    <w:pPr>
      <w:spacing w:before="0" w:after="160" w:line="259" w:lineRule="auto"/>
      <w:ind w:left="720"/>
      <w:contextualSpacing/>
    </w:pPr>
    <w:rPr>
      <w:color w:val="auto"/>
      <w:kern w:val="2"/>
      <w14:ligatures w14:val="standardContextual"/>
    </w:rPr>
  </w:style>
  <w:style w:type="table" w:styleId="ListTable4-Accent1">
    <w:name w:val="List Table 4 Accent 1"/>
    <w:basedOn w:val="TableNormal"/>
    <w:uiPriority w:val="49"/>
    <w:locked/>
    <w:rsid w:val="00D50E88"/>
    <w:pPr>
      <w:spacing w:before="0" w:after="0" w:line="240" w:lineRule="auto"/>
    </w:pPr>
    <w:rPr>
      <w:color w:val="auto"/>
      <w:kern w:val="2"/>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CommentText">
    <w:name w:val="annotation text"/>
    <w:basedOn w:val="Normal"/>
    <w:link w:val="CommentTextChar"/>
    <w:uiPriority w:val="99"/>
    <w:semiHidden/>
    <w:locked/>
    <w:rsid w:val="00D50E88"/>
    <w:pPr>
      <w:spacing w:line="240" w:lineRule="auto"/>
    </w:pPr>
    <w:rPr>
      <w:sz w:val="20"/>
      <w:szCs w:val="20"/>
    </w:rPr>
  </w:style>
  <w:style w:type="character" w:customStyle="1" w:styleId="CommentTextChar">
    <w:name w:val="Comment Text Char"/>
    <w:basedOn w:val="DefaultParagraphFont"/>
    <w:link w:val="CommentText"/>
    <w:uiPriority w:val="99"/>
    <w:semiHidden/>
    <w:rsid w:val="00D50E88"/>
    <w:rPr>
      <w:sz w:val="20"/>
      <w:szCs w:val="20"/>
    </w:rPr>
  </w:style>
  <w:style w:type="paragraph" w:styleId="CommentSubject">
    <w:name w:val="annotation subject"/>
    <w:basedOn w:val="CommentText"/>
    <w:next w:val="CommentText"/>
    <w:link w:val="CommentSubjectChar"/>
    <w:uiPriority w:val="99"/>
    <w:semiHidden/>
    <w:unhideWhenUsed/>
    <w:locked/>
    <w:rsid w:val="00433237"/>
    <w:rPr>
      <w:b/>
      <w:bCs/>
    </w:rPr>
  </w:style>
  <w:style w:type="character" w:customStyle="1" w:styleId="CommentSubjectChar">
    <w:name w:val="Comment Subject Char"/>
    <w:basedOn w:val="CommentTextChar"/>
    <w:link w:val="CommentSubject"/>
    <w:uiPriority w:val="99"/>
    <w:semiHidden/>
    <w:rsid w:val="00433237"/>
    <w:rPr>
      <w:b/>
      <w:bCs/>
      <w:sz w:val="20"/>
      <w:szCs w:val="20"/>
    </w:rPr>
  </w:style>
  <w:style w:type="paragraph" w:styleId="NormalWeb">
    <w:name w:val="Normal (Web)"/>
    <w:basedOn w:val="Normal"/>
    <w:uiPriority w:val="99"/>
    <w:unhideWhenUsed/>
    <w:locked/>
    <w:rsid w:val="00826C41"/>
    <w:pPr>
      <w:spacing w:before="0" w:after="150" w:line="240" w:lineRule="auto"/>
    </w:pPr>
    <w:rPr>
      <w:rFonts w:ascii="Times New Roman" w:hAnsi="Times New Roman" w:cs="Times New Roman"/>
      <w:color w:val="auto"/>
      <w:sz w:val="24"/>
      <w:szCs w:val="24"/>
      <w:lang w:eastAsia="en-AU"/>
    </w:rPr>
  </w:style>
  <w:style w:type="paragraph" w:styleId="Caption">
    <w:name w:val="caption"/>
    <w:basedOn w:val="Normal"/>
    <w:next w:val="Normal"/>
    <w:uiPriority w:val="35"/>
    <w:semiHidden/>
    <w:qFormat/>
    <w:locked/>
    <w:rsid w:val="00884F4E"/>
    <w:pPr>
      <w:spacing w:before="0" w:line="240" w:lineRule="auto"/>
    </w:pPr>
    <w:rPr>
      <w:i/>
      <w:iCs/>
      <w:color w:val="44546A" w:themeColor="text2"/>
      <w:sz w:val="18"/>
      <w:szCs w:val="18"/>
    </w:rPr>
  </w:style>
  <w:style w:type="paragraph" w:styleId="Revision">
    <w:name w:val="Revision"/>
    <w:hidden/>
    <w:uiPriority w:val="99"/>
    <w:semiHidden/>
    <w:rsid w:val="005D2970"/>
    <w:pPr>
      <w:spacing w:before="0" w:after="0" w:line="240" w:lineRule="auto"/>
    </w:pPr>
  </w:style>
  <w:style w:type="character" w:styleId="UnresolvedMention">
    <w:name w:val="Unresolved Mention"/>
    <w:basedOn w:val="DefaultParagraphFont"/>
    <w:uiPriority w:val="99"/>
    <w:semiHidden/>
    <w:unhideWhenUsed/>
    <w:rsid w:val="00931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2256">
      <w:bodyDiv w:val="1"/>
      <w:marLeft w:val="0"/>
      <w:marRight w:val="0"/>
      <w:marTop w:val="0"/>
      <w:marBottom w:val="0"/>
      <w:divBdr>
        <w:top w:val="none" w:sz="0" w:space="0" w:color="auto"/>
        <w:left w:val="none" w:sz="0" w:space="0" w:color="auto"/>
        <w:bottom w:val="none" w:sz="0" w:space="0" w:color="auto"/>
        <w:right w:val="none" w:sz="0" w:space="0" w:color="auto"/>
      </w:divBdr>
    </w:div>
    <w:div w:id="40449815">
      <w:bodyDiv w:val="1"/>
      <w:marLeft w:val="0"/>
      <w:marRight w:val="0"/>
      <w:marTop w:val="0"/>
      <w:marBottom w:val="0"/>
      <w:divBdr>
        <w:top w:val="none" w:sz="0" w:space="0" w:color="auto"/>
        <w:left w:val="none" w:sz="0" w:space="0" w:color="auto"/>
        <w:bottom w:val="none" w:sz="0" w:space="0" w:color="auto"/>
        <w:right w:val="none" w:sz="0" w:space="0" w:color="auto"/>
      </w:divBdr>
    </w:div>
    <w:div w:id="41516545">
      <w:bodyDiv w:val="1"/>
      <w:marLeft w:val="0"/>
      <w:marRight w:val="0"/>
      <w:marTop w:val="0"/>
      <w:marBottom w:val="0"/>
      <w:divBdr>
        <w:top w:val="none" w:sz="0" w:space="0" w:color="auto"/>
        <w:left w:val="none" w:sz="0" w:space="0" w:color="auto"/>
        <w:bottom w:val="none" w:sz="0" w:space="0" w:color="auto"/>
        <w:right w:val="none" w:sz="0" w:space="0" w:color="auto"/>
      </w:divBdr>
    </w:div>
    <w:div w:id="178392261">
      <w:bodyDiv w:val="1"/>
      <w:marLeft w:val="0"/>
      <w:marRight w:val="0"/>
      <w:marTop w:val="0"/>
      <w:marBottom w:val="0"/>
      <w:divBdr>
        <w:top w:val="none" w:sz="0" w:space="0" w:color="auto"/>
        <w:left w:val="none" w:sz="0" w:space="0" w:color="auto"/>
        <w:bottom w:val="none" w:sz="0" w:space="0" w:color="auto"/>
        <w:right w:val="none" w:sz="0" w:space="0" w:color="auto"/>
      </w:divBdr>
    </w:div>
    <w:div w:id="210850727">
      <w:bodyDiv w:val="1"/>
      <w:marLeft w:val="0"/>
      <w:marRight w:val="0"/>
      <w:marTop w:val="0"/>
      <w:marBottom w:val="0"/>
      <w:divBdr>
        <w:top w:val="none" w:sz="0" w:space="0" w:color="auto"/>
        <w:left w:val="none" w:sz="0" w:space="0" w:color="auto"/>
        <w:bottom w:val="none" w:sz="0" w:space="0" w:color="auto"/>
        <w:right w:val="none" w:sz="0" w:space="0" w:color="auto"/>
      </w:divBdr>
    </w:div>
    <w:div w:id="656107536">
      <w:bodyDiv w:val="1"/>
      <w:marLeft w:val="0"/>
      <w:marRight w:val="0"/>
      <w:marTop w:val="0"/>
      <w:marBottom w:val="0"/>
      <w:divBdr>
        <w:top w:val="none" w:sz="0" w:space="0" w:color="auto"/>
        <w:left w:val="none" w:sz="0" w:space="0" w:color="auto"/>
        <w:bottom w:val="none" w:sz="0" w:space="0" w:color="auto"/>
        <w:right w:val="none" w:sz="0" w:space="0" w:color="auto"/>
      </w:divBdr>
    </w:div>
    <w:div w:id="704789455">
      <w:bodyDiv w:val="1"/>
      <w:marLeft w:val="0"/>
      <w:marRight w:val="0"/>
      <w:marTop w:val="0"/>
      <w:marBottom w:val="0"/>
      <w:divBdr>
        <w:top w:val="none" w:sz="0" w:space="0" w:color="auto"/>
        <w:left w:val="none" w:sz="0" w:space="0" w:color="auto"/>
        <w:bottom w:val="none" w:sz="0" w:space="0" w:color="auto"/>
        <w:right w:val="none" w:sz="0" w:space="0" w:color="auto"/>
      </w:divBdr>
    </w:div>
    <w:div w:id="1135491101">
      <w:bodyDiv w:val="1"/>
      <w:marLeft w:val="0"/>
      <w:marRight w:val="0"/>
      <w:marTop w:val="0"/>
      <w:marBottom w:val="0"/>
      <w:divBdr>
        <w:top w:val="none" w:sz="0" w:space="0" w:color="auto"/>
        <w:left w:val="none" w:sz="0" w:space="0" w:color="auto"/>
        <w:bottom w:val="none" w:sz="0" w:space="0" w:color="auto"/>
        <w:right w:val="none" w:sz="0" w:space="0" w:color="auto"/>
      </w:divBdr>
    </w:div>
    <w:div w:id="1165170126">
      <w:bodyDiv w:val="1"/>
      <w:marLeft w:val="0"/>
      <w:marRight w:val="0"/>
      <w:marTop w:val="0"/>
      <w:marBottom w:val="0"/>
      <w:divBdr>
        <w:top w:val="none" w:sz="0" w:space="0" w:color="auto"/>
        <w:left w:val="none" w:sz="0" w:space="0" w:color="auto"/>
        <w:bottom w:val="none" w:sz="0" w:space="0" w:color="auto"/>
        <w:right w:val="none" w:sz="0" w:space="0" w:color="auto"/>
      </w:divBdr>
    </w:div>
    <w:div w:id="1223325914">
      <w:bodyDiv w:val="1"/>
      <w:marLeft w:val="0"/>
      <w:marRight w:val="0"/>
      <w:marTop w:val="0"/>
      <w:marBottom w:val="0"/>
      <w:divBdr>
        <w:top w:val="none" w:sz="0" w:space="0" w:color="auto"/>
        <w:left w:val="none" w:sz="0" w:space="0" w:color="auto"/>
        <w:bottom w:val="none" w:sz="0" w:space="0" w:color="auto"/>
        <w:right w:val="none" w:sz="0" w:space="0" w:color="auto"/>
      </w:divBdr>
    </w:div>
    <w:div w:id="1325207207">
      <w:bodyDiv w:val="1"/>
      <w:marLeft w:val="0"/>
      <w:marRight w:val="0"/>
      <w:marTop w:val="0"/>
      <w:marBottom w:val="0"/>
      <w:divBdr>
        <w:top w:val="none" w:sz="0" w:space="0" w:color="auto"/>
        <w:left w:val="none" w:sz="0" w:space="0" w:color="auto"/>
        <w:bottom w:val="none" w:sz="0" w:space="0" w:color="auto"/>
        <w:right w:val="none" w:sz="0" w:space="0" w:color="auto"/>
      </w:divBdr>
    </w:div>
    <w:div w:id="1331710741">
      <w:bodyDiv w:val="1"/>
      <w:marLeft w:val="0"/>
      <w:marRight w:val="0"/>
      <w:marTop w:val="0"/>
      <w:marBottom w:val="0"/>
      <w:divBdr>
        <w:top w:val="none" w:sz="0" w:space="0" w:color="auto"/>
        <w:left w:val="none" w:sz="0" w:space="0" w:color="auto"/>
        <w:bottom w:val="none" w:sz="0" w:space="0" w:color="auto"/>
        <w:right w:val="none" w:sz="0" w:space="0" w:color="auto"/>
      </w:divBdr>
    </w:div>
    <w:div w:id="1793548200">
      <w:bodyDiv w:val="1"/>
      <w:marLeft w:val="0"/>
      <w:marRight w:val="0"/>
      <w:marTop w:val="0"/>
      <w:marBottom w:val="0"/>
      <w:divBdr>
        <w:top w:val="none" w:sz="0" w:space="0" w:color="auto"/>
        <w:left w:val="none" w:sz="0" w:space="0" w:color="auto"/>
        <w:bottom w:val="none" w:sz="0" w:space="0" w:color="auto"/>
        <w:right w:val="none" w:sz="0" w:space="0" w:color="auto"/>
      </w:divBdr>
    </w:div>
    <w:div w:id="1802963656">
      <w:bodyDiv w:val="1"/>
      <w:marLeft w:val="0"/>
      <w:marRight w:val="0"/>
      <w:marTop w:val="0"/>
      <w:marBottom w:val="0"/>
      <w:divBdr>
        <w:top w:val="none" w:sz="0" w:space="0" w:color="auto"/>
        <w:left w:val="none" w:sz="0" w:space="0" w:color="auto"/>
        <w:bottom w:val="none" w:sz="0" w:space="0" w:color="auto"/>
        <w:right w:val="none" w:sz="0" w:space="0" w:color="auto"/>
      </w:divBdr>
    </w:div>
    <w:div w:id="1923249226">
      <w:bodyDiv w:val="1"/>
      <w:marLeft w:val="0"/>
      <w:marRight w:val="0"/>
      <w:marTop w:val="0"/>
      <w:marBottom w:val="0"/>
      <w:divBdr>
        <w:top w:val="none" w:sz="0" w:space="0" w:color="auto"/>
        <w:left w:val="none" w:sz="0" w:space="0" w:color="auto"/>
        <w:bottom w:val="none" w:sz="0" w:space="0" w:color="auto"/>
        <w:right w:val="none" w:sz="0" w:space="0" w:color="auto"/>
      </w:divBdr>
    </w:div>
    <w:div w:id="2059010404">
      <w:bodyDiv w:val="1"/>
      <w:marLeft w:val="0"/>
      <w:marRight w:val="0"/>
      <w:marTop w:val="0"/>
      <w:marBottom w:val="0"/>
      <w:divBdr>
        <w:top w:val="none" w:sz="0" w:space="0" w:color="auto"/>
        <w:left w:val="none" w:sz="0" w:space="0" w:color="auto"/>
        <w:bottom w:val="none" w:sz="0" w:space="0" w:color="auto"/>
        <w:right w:val="none" w:sz="0" w:space="0" w:color="auto"/>
      </w:divBdr>
    </w:div>
    <w:div w:id="2064475496">
      <w:bodyDiv w:val="1"/>
      <w:marLeft w:val="0"/>
      <w:marRight w:val="0"/>
      <w:marTop w:val="0"/>
      <w:marBottom w:val="0"/>
      <w:divBdr>
        <w:top w:val="none" w:sz="0" w:space="0" w:color="auto"/>
        <w:left w:val="none" w:sz="0" w:space="0" w:color="auto"/>
        <w:bottom w:val="none" w:sz="0" w:space="0" w:color="auto"/>
        <w:right w:val="none" w:sz="0" w:space="0" w:color="auto"/>
      </w:divBdr>
    </w:div>
    <w:div w:id="214677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diagramData" Target="diagrams/data1.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diagramColors" Target="diagrams/colors1.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9.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diagramQuickStyle" Target="diagrams/quickStyle1.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diagramLayout" Target="diagrams/layout1.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microsoft.com/office/2007/relationships/diagramDrawing" Target="diagrams/drawing1.xml"/><Relationship Id="rId27" Type="http://schemas.openxmlformats.org/officeDocument/2006/relationships/header" Target="header1.xml"/><Relationship Id="rId30" Type="http://schemas.openxmlformats.org/officeDocument/2006/relationships/hyperlink" Target="mailto:housingpolicy@stategrowth.tas.gov.au" TargetMode="External"/><Relationship Id="rId35" Type="http://schemas.openxmlformats.org/officeDocument/2006/relationships/theme" Target="theme/theme1.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unders\Downloads\A4-Report-template-blue-cover.DOTX"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23012C-5F2D-4512-9BC6-17441BCEA8EB}" type="doc">
      <dgm:prSet loTypeId="urn:microsoft.com/office/officeart/2005/8/layout/hierarchy3" loCatId="relationship" qsTypeId="urn:microsoft.com/office/officeart/2005/8/quickstyle/simple1" qsCatId="simple" csTypeId="urn:microsoft.com/office/officeart/2005/8/colors/accent6_1" csCatId="accent6" phldr="1"/>
      <dgm:spPr/>
      <dgm:t>
        <a:bodyPr/>
        <a:lstStyle/>
        <a:p>
          <a:endParaRPr lang="en-AU"/>
        </a:p>
      </dgm:t>
    </dgm:pt>
    <dgm:pt modelId="{7A82A778-9C1E-4802-A525-5124075871F6}">
      <dgm:prSet phldrT="[Text]" custT="1"/>
      <dgm:spPr>
        <a:solidFill>
          <a:srgbClr val="16AAC6"/>
        </a:solidFill>
        <a:ln>
          <a:solidFill>
            <a:srgbClr val="16AAC6"/>
          </a:solidFill>
        </a:ln>
      </dgm:spPr>
      <dgm:t>
        <a:bodyPr/>
        <a:lstStyle/>
        <a:p>
          <a:r>
            <a:rPr lang="en-AU" sz="1400" b="1">
              <a:solidFill>
                <a:schemeClr val="bg1"/>
              </a:solidFill>
              <a:latin typeface="Arial" panose="020B0604020202020204" pitchFamily="34" charset="0"/>
              <a:cs typeface="Arial" panose="020B0604020202020204" pitchFamily="34" charset="0"/>
            </a:rPr>
            <a:t>Homes Tasmania</a:t>
          </a:r>
        </a:p>
      </dgm:t>
    </dgm:pt>
    <dgm:pt modelId="{A202B628-10CB-4B57-85C0-7BCB9E67B8FC}" type="parTrans" cxnId="{C05B21D3-B7AE-45AA-8A1B-93FDBBE1A860}">
      <dgm:prSet/>
      <dgm:spPr/>
      <dgm:t>
        <a:bodyPr/>
        <a:lstStyle/>
        <a:p>
          <a:endParaRPr lang="en-AU"/>
        </a:p>
      </dgm:t>
    </dgm:pt>
    <dgm:pt modelId="{59668BCA-9EE8-4622-8201-CADCB19BA6D5}" type="sibTrans" cxnId="{C05B21D3-B7AE-45AA-8A1B-93FDBBE1A860}">
      <dgm:prSet/>
      <dgm:spPr/>
      <dgm:t>
        <a:bodyPr/>
        <a:lstStyle/>
        <a:p>
          <a:endParaRPr lang="en-AU"/>
        </a:p>
      </dgm:t>
    </dgm:pt>
    <dgm:pt modelId="{3B4513E6-C489-4C7A-AE0A-1F371DB97F70}">
      <dgm:prSet phldrT="[Text]" custT="1"/>
      <dgm:spPr>
        <a:solidFill>
          <a:srgbClr val="16AAC6"/>
        </a:solidFill>
        <a:ln>
          <a:solidFill>
            <a:srgbClr val="16AAC6"/>
          </a:solidFill>
        </a:ln>
      </dgm:spPr>
      <dgm:t>
        <a:bodyPr/>
        <a:lstStyle/>
        <a:p>
          <a:r>
            <a:rPr lang="en-AU" sz="1400" b="1">
              <a:solidFill>
                <a:schemeClr val="bg1"/>
              </a:solidFill>
              <a:latin typeface="Arial" panose="020B0604020202020204" pitchFamily="34" charset="0"/>
              <a:cs typeface="Arial" panose="020B0604020202020204" pitchFamily="34" charset="0"/>
            </a:rPr>
            <a:t>Department of State Growth</a:t>
          </a:r>
        </a:p>
      </dgm:t>
    </dgm:pt>
    <dgm:pt modelId="{E625BB60-192C-4DD6-913C-C029A9606F93}" type="parTrans" cxnId="{28FA69B5-C05E-49D5-9B62-D2B13412B0C5}">
      <dgm:prSet/>
      <dgm:spPr/>
      <dgm:t>
        <a:bodyPr/>
        <a:lstStyle/>
        <a:p>
          <a:endParaRPr lang="en-AU"/>
        </a:p>
      </dgm:t>
    </dgm:pt>
    <dgm:pt modelId="{277F7F07-D49F-4A88-8144-F1EE4D84CD4F}" type="sibTrans" cxnId="{28FA69B5-C05E-49D5-9B62-D2B13412B0C5}">
      <dgm:prSet/>
      <dgm:spPr/>
      <dgm:t>
        <a:bodyPr/>
        <a:lstStyle/>
        <a:p>
          <a:endParaRPr lang="en-AU"/>
        </a:p>
      </dgm:t>
    </dgm:pt>
    <dgm:pt modelId="{3C170B25-1FDA-415B-B13C-89C8A75E504F}">
      <dgm:prSet custT="1"/>
      <dgm:spPr>
        <a:solidFill>
          <a:srgbClr val="16AAC6">
            <a:alpha val="10000"/>
          </a:srgbClr>
        </a:solidFill>
        <a:ln>
          <a:solidFill>
            <a:srgbClr val="16AAC6"/>
          </a:solidFill>
        </a:ln>
      </dgm:spPr>
      <dgm:t>
        <a:bodyPr lIns="72000" tIns="72000" rIns="72000" bIns="72000"/>
        <a:lstStyle/>
        <a:p>
          <a:pPr>
            <a:spcBef>
              <a:spcPct val="0"/>
            </a:spcBef>
            <a:spcAft>
              <a:spcPct val="35000"/>
            </a:spcAft>
          </a:pPr>
          <a:r>
            <a:rPr lang="en-AU" sz="1200" b="1">
              <a:latin typeface="Arial" panose="020B0604020202020204" pitchFamily="34" charset="0"/>
              <a:cs typeface="Arial" panose="020B0604020202020204" pitchFamily="34" charset="0"/>
            </a:rPr>
            <a:t>Focus areas</a:t>
          </a:r>
        </a:p>
      </dgm:t>
    </dgm:pt>
    <dgm:pt modelId="{2B3B3A5E-B996-4EF0-9019-87389058AE3A}" type="parTrans" cxnId="{7DB9EB00-481D-4C7B-AA50-0EB93CCD03E0}">
      <dgm:prSet/>
      <dgm:spPr>
        <a:ln>
          <a:solidFill>
            <a:srgbClr val="16AAC6"/>
          </a:solidFill>
        </a:ln>
      </dgm:spPr>
      <dgm:t>
        <a:bodyPr/>
        <a:lstStyle/>
        <a:p>
          <a:endParaRPr lang="en-AU"/>
        </a:p>
      </dgm:t>
    </dgm:pt>
    <dgm:pt modelId="{587B9658-7BD9-46C4-9F53-34BB977279D8}" type="sibTrans" cxnId="{7DB9EB00-481D-4C7B-AA50-0EB93CCD03E0}">
      <dgm:prSet/>
      <dgm:spPr/>
      <dgm:t>
        <a:bodyPr/>
        <a:lstStyle/>
        <a:p>
          <a:endParaRPr lang="en-AU"/>
        </a:p>
      </dgm:t>
    </dgm:pt>
    <dgm:pt modelId="{C3E75AE7-963E-4B5B-AF84-0AB3A292E850}">
      <dgm:prSet custT="1"/>
      <dgm:spPr>
        <a:solidFill>
          <a:srgbClr val="16AAC6">
            <a:alpha val="10000"/>
          </a:srgbClr>
        </a:solidFill>
        <a:ln>
          <a:solidFill>
            <a:srgbClr val="16AAC6"/>
          </a:solidFill>
        </a:ln>
      </dgm:spPr>
      <dgm:t>
        <a:bodyPr lIns="72000" tIns="72000" rIns="72000" bIns="72000"/>
        <a:lstStyle/>
        <a:p>
          <a:pPr>
            <a:spcBef>
              <a:spcPct val="0"/>
            </a:spcBef>
            <a:spcAft>
              <a:spcPct val="35000"/>
            </a:spcAft>
          </a:pPr>
          <a:r>
            <a:rPr lang="en-AU" sz="1200" b="1">
              <a:latin typeface="Arial" panose="020B0604020202020204" pitchFamily="34" charset="0"/>
              <a:cs typeface="Arial" panose="020B0604020202020204" pitchFamily="34" charset="0"/>
            </a:rPr>
            <a:t>Focus areas</a:t>
          </a:r>
        </a:p>
      </dgm:t>
    </dgm:pt>
    <dgm:pt modelId="{0DDD1EF1-FFD8-445E-A607-223B87F5D8BA}" type="parTrans" cxnId="{BA91D096-7B90-4688-9FD2-8D4FDC4AE35E}">
      <dgm:prSet/>
      <dgm:spPr>
        <a:ln>
          <a:solidFill>
            <a:srgbClr val="16AAC6"/>
          </a:solidFill>
        </a:ln>
      </dgm:spPr>
      <dgm:t>
        <a:bodyPr/>
        <a:lstStyle/>
        <a:p>
          <a:endParaRPr lang="en-AU"/>
        </a:p>
      </dgm:t>
    </dgm:pt>
    <dgm:pt modelId="{D0CCA399-2BFF-40F8-9D2C-47919268A6AB}" type="sibTrans" cxnId="{BA91D096-7B90-4688-9FD2-8D4FDC4AE35E}">
      <dgm:prSet/>
      <dgm:spPr/>
      <dgm:t>
        <a:bodyPr/>
        <a:lstStyle/>
        <a:p>
          <a:endParaRPr lang="en-AU"/>
        </a:p>
      </dgm:t>
    </dgm:pt>
    <dgm:pt modelId="{36B84645-50AF-4395-ABFD-A7D51AFC25B8}">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Build more homes.</a:t>
          </a:r>
        </a:p>
      </dgm:t>
    </dgm:pt>
    <dgm:pt modelId="{548BB308-52B1-4B19-99CC-294BB388AE4D}" type="parTrans" cxnId="{8FF5A71D-F2B0-48C9-92EA-E5CAB2F1569D}">
      <dgm:prSet/>
      <dgm:spPr/>
      <dgm:t>
        <a:bodyPr/>
        <a:lstStyle/>
        <a:p>
          <a:endParaRPr lang="en-AU"/>
        </a:p>
      </dgm:t>
    </dgm:pt>
    <dgm:pt modelId="{A6E4241F-6DA2-4D38-B08E-159A00B67A53}" type="sibTrans" cxnId="{8FF5A71D-F2B0-48C9-92EA-E5CAB2F1569D}">
      <dgm:prSet/>
      <dgm:spPr/>
      <dgm:t>
        <a:bodyPr/>
        <a:lstStyle/>
        <a:p>
          <a:endParaRPr lang="en-AU"/>
        </a:p>
      </dgm:t>
    </dgm:pt>
    <dgm:pt modelId="{6C7D5473-D281-4A7D-B9FE-4367DDB3E087}">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Act as a System Steward. </a:t>
          </a:r>
        </a:p>
      </dgm:t>
    </dgm:pt>
    <dgm:pt modelId="{E1C7C0BD-0010-4DF8-A8DD-FAC019DC3A35}" type="parTrans" cxnId="{4427A590-7272-4D57-BC38-3D2AEC607F6E}">
      <dgm:prSet/>
      <dgm:spPr/>
      <dgm:t>
        <a:bodyPr/>
        <a:lstStyle/>
        <a:p>
          <a:endParaRPr lang="en-AU"/>
        </a:p>
      </dgm:t>
    </dgm:pt>
    <dgm:pt modelId="{190B466E-ED20-4C1D-B99F-EF62BFF3D3CB}" type="sibTrans" cxnId="{4427A590-7272-4D57-BC38-3D2AEC607F6E}">
      <dgm:prSet/>
      <dgm:spPr/>
      <dgm:t>
        <a:bodyPr/>
        <a:lstStyle/>
        <a:p>
          <a:endParaRPr lang="en-AU"/>
        </a:p>
      </dgm:t>
    </dgm:pt>
    <dgm:pt modelId="{8AC7FFF6-A8B9-47F1-AC0A-C50CC3E0756A}">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Develop strategic and program </a:t>
          </a:r>
          <a:br>
            <a:rPr lang="en-AU" sz="1100">
              <a:latin typeface="Arial" panose="020B0604020202020204" pitchFamily="34" charset="0"/>
              <a:cs typeface="Arial" panose="020B0604020202020204" pitchFamily="34" charset="0"/>
            </a:rPr>
          </a:br>
          <a:r>
            <a:rPr lang="en-AU" sz="1100">
              <a:latin typeface="Arial" panose="020B0604020202020204" pitchFamily="34" charset="0"/>
              <a:cs typeface="Arial" panose="020B0604020202020204" pitchFamily="34" charset="0"/>
            </a:rPr>
            <a:t> policy and regulations.</a:t>
          </a:r>
        </a:p>
      </dgm:t>
    </dgm:pt>
    <dgm:pt modelId="{9305C1A3-D358-4451-BB11-84E69C667D2B}" type="parTrans" cxnId="{7E093D3E-FBCA-4D1B-9C6C-54796D1B9EC4}">
      <dgm:prSet/>
      <dgm:spPr/>
      <dgm:t>
        <a:bodyPr/>
        <a:lstStyle/>
        <a:p>
          <a:endParaRPr lang="en-AU"/>
        </a:p>
      </dgm:t>
    </dgm:pt>
    <dgm:pt modelId="{C48B1ADB-6008-43BB-8D48-46B23EF80144}" type="sibTrans" cxnId="{7E093D3E-FBCA-4D1B-9C6C-54796D1B9EC4}">
      <dgm:prSet/>
      <dgm:spPr/>
      <dgm:t>
        <a:bodyPr/>
        <a:lstStyle/>
        <a:p>
          <a:endParaRPr lang="en-AU"/>
        </a:p>
      </dgm:t>
    </dgm:pt>
    <dgm:pt modelId="{02907651-4CE4-44D4-A152-01280C644222}">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Lead intergovernmental work.</a:t>
          </a:r>
        </a:p>
      </dgm:t>
    </dgm:pt>
    <dgm:pt modelId="{CE3740C6-B11F-44DE-A461-E50DD3413434}" type="parTrans" cxnId="{48BCF4C3-2DA3-413D-AB31-2974B5B24FF1}">
      <dgm:prSet/>
      <dgm:spPr/>
      <dgm:t>
        <a:bodyPr/>
        <a:lstStyle/>
        <a:p>
          <a:endParaRPr lang="en-AU"/>
        </a:p>
      </dgm:t>
    </dgm:pt>
    <dgm:pt modelId="{48263FDB-737E-4A17-825E-6045E4257FA9}" type="sibTrans" cxnId="{48BCF4C3-2DA3-413D-AB31-2974B5B24FF1}">
      <dgm:prSet/>
      <dgm:spPr/>
      <dgm:t>
        <a:bodyPr/>
        <a:lstStyle/>
        <a:p>
          <a:endParaRPr lang="en-AU"/>
        </a:p>
      </dgm:t>
    </dgm:pt>
    <dgm:pt modelId="{01F52189-AA6D-47A2-A643-B660851C0674}">
      <dgm:prSet/>
      <dgm:spPr>
        <a:solidFill>
          <a:srgbClr val="16AAC6">
            <a:alpha val="10000"/>
          </a:srgbClr>
        </a:solidFill>
        <a:ln>
          <a:solidFill>
            <a:srgbClr val="16AAC6"/>
          </a:solidFill>
        </a:ln>
      </dgm:spPr>
      <dgm:t>
        <a:bodyPr lIns="72000" tIns="72000" rIns="72000" bIns="72000"/>
        <a:lstStyle/>
        <a:p>
          <a:pPr>
            <a:spcBef>
              <a:spcPct val="0"/>
            </a:spcBef>
            <a:spcAft>
              <a:spcPct val="15000"/>
            </a:spcAft>
          </a:pPr>
          <a:endParaRPr lang="en-AU" sz="1000">
            <a:latin typeface="Arial" panose="020B0604020202020204" pitchFamily="34" charset="0"/>
            <a:cs typeface="Arial" panose="020B0604020202020204" pitchFamily="34" charset="0"/>
          </a:endParaRPr>
        </a:p>
      </dgm:t>
    </dgm:pt>
    <dgm:pt modelId="{2AB68024-FFD5-461F-AD87-039116CFBB4D}" type="parTrans" cxnId="{A9570D29-966B-4C01-AD42-4CDD6E67D553}">
      <dgm:prSet/>
      <dgm:spPr/>
      <dgm:t>
        <a:bodyPr/>
        <a:lstStyle/>
        <a:p>
          <a:endParaRPr lang="en-AU"/>
        </a:p>
      </dgm:t>
    </dgm:pt>
    <dgm:pt modelId="{2A3011D8-CB21-4C11-B8DE-99511FB63BCC}" type="sibTrans" cxnId="{A9570D29-966B-4C01-AD42-4CDD6E67D553}">
      <dgm:prSet/>
      <dgm:spPr/>
      <dgm:t>
        <a:bodyPr/>
        <a:lstStyle/>
        <a:p>
          <a:endParaRPr lang="en-AU"/>
        </a:p>
      </dgm:t>
    </dgm:pt>
    <dgm:pt modelId="{2FAACAD5-1B3C-4D85-8387-4B4FFB4F7C41}">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Manage Community Housing</a:t>
          </a:r>
          <a:br>
            <a:rPr lang="en-AU" sz="1100">
              <a:latin typeface="Arial" panose="020B0604020202020204" pitchFamily="34" charset="0"/>
              <a:cs typeface="Arial" panose="020B0604020202020204" pitchFamily="34" charset="0"/>
            </a:rPr>
          </a:br>
          <a:r>
            <a:rPr lang="en-AU" sz="1100">
              <a:latin typeface="Arial" panose="020B0604020202020204" pitchFamily="34" charset="0"/>
              <a:cs typeface="Arial" panose="020B0604020202020204" pitchFamily="34" charset="0"/>
            </a:rPr>
            <a:t> Provider system.</a:t>
          </a:r>
        </a:p>
      </dgm:t>
    </dgm:pt>
    <dgm:pt modelId="{E9D4E276-F292-4805-8724-D5F11EFF8C50}" type="parTrans" cxnId="{2BA23580-63A3-4B9F-A942-5E5636F24D2D}">
      <dgm:prSet/>
      <dgm:spPr/>
      <dgm:t>
        <a:bodyPr/>
        <a:lstStyle/>
        <a:p>
          <a:endParaRPr lang="en-AU"/>
        </a:p>
      </dgm:t>
    </dgm:pt>
    <dgm:pt modelId="{CB26F346-ED1C-459C-BC19-E6EA11D58C04}" type="sibTrans" cxnId="{2BA23580-63A3-4B9F-A942-5E5636F24D2D}">
      <dgm:prSet/>
      <dgm:spPr/>
      <dgm:t>
        <a:bodyPr/>
        <a:lstStyle/>
        <a:p>
          <a:endParaRPr lang="en-AU"/>
        </a:p>
      </dgm:t>
    </dgm:pt>
    <dgm:pt modelId="{ACE244F5-4078-4B39-8191-C409FE05E42B}">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Provide funding for the housing</a:t>
          </a:r>
          <a:br>
            <a:rPr lang="en-AU" sz="1100">
              <a:latin typeface="Arial" panose="020B0604020202020204" pitchFamily="34" charset="0"/>
              <a:cs typeface="Arial" panose="020B0604020202020204" pitchFamily="34" charset="0"/>
            </a:rPr>
          </a:br>
          <a:r>
            <a:rPr lang="en-AU" sz="1100">
              <a:latin typeface="Arial" panose="020B0604020202020204" pitchFamily="34" charset="0"/>
              <a:cs typeface="Arial" panose="020B0604020202020204" pitchFamily="34" charset="0"/>
            </a:rPr>
            <a:t> system.</a:t>
          </a:r>
        </a:p>
      </dgm:t>
    </dgm:pt>
    <dgm:pt modelId="{5C5FF80B-FA1F-4F4A-9F6D-CFC3DDC0C3C8}" type="parTrans" cxnId="{772FD194-2004-423D-8A02-23DCDABC87DD}">
      <dgm:prSet/>
      <dgm:spPr/>
      <dgm:t>
        <a:bodyPr/>
        <a:lstStyle/>
        <a:p>
          <a:endParaRPr lang="en-AU"/>
        </a:p>
      </dgm:t>
    </dgm:pt>
    <dgm:pt modelId="{400B2286-33D5-4831-9FA4-FE5CBCB21986}" type="sibTrans" cxnId="{772FD194-2004-423D-8A02-23DCDABC87DD}">
      <dgm:prSet/>
      <dgm:spPr/>
      <dgm:t>
        <a:bodyPr/>
        <a:lstStyle/>
        <a:p>
          <a:endParaRPr lang="en-AU"/>
        </a:p>
      </dgm:t>
    </dgm:pt>
    <dgm:pt modelId="{FD984B6C-6204-473F-A957-792ACAACEAB6}">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Set peformance standards.</a:t>
          </a:r>
        </a:p>
      </dgm:t>
    </dgm:pt>
    <dgm:pt modelId="{8C68F432-9A8D-4C95-9821-B0CACD00210D}" type="parTrans" cxnId="{3FD823BF-FE7D-41E5-9DC0-D264CCD670D0}">
      <dgm:prSet/>
      <dgm:spPr/>
      <dgm:t>
        <a:bodyPr/>
        <a:lstStyle/>
        <a:p>
          <a:endParaRPr lang="en-AU"/>
        </a:p>
      </dgm:t>
    </dgm:pt>
    <dgm:pt modelId="{302D2C7E-1B66-4177-AC87-BF91695D84EF}" type="sibTrans" cxnId="{3FD823BF-FE7D-41E5-9DC0-D264CCD670D0}">
      <dgm:prSet/>
      <dgm:spPr/>
      <dgm:t>
        <a:bodyPr/>
        <a:lstStyle/>
        <a:p>
          <a:endParaRPr lang="en-AU"/>
        </a:p>
      </dgm:t>
    </dgm:pt>
    <dgm:pt modelId="{AED23A35-54DE-4618-910B-80EC9161EC28}">
      <dgm:prSet custT="1"/>
      <dgm:spPr>
        <a:solidFill>
          <a:srgbClr val="16AAC6">
            <a:alpha val="10000"/>
          </a:srgbClr>
        </a:solidFill>
        <a:ln>
          <a:solidFill>
            <a:srgbClr val="16AAC6"/>
          </a:solidFill>
        </a:ln>
      </dgm:spPr>
      <dgm:t>
        <a:bodyPr lIns="72000" tIns="72000" rIns="72000" bIns="72000"/>
        <a:lstStyle/>
        <a:p>
          <a:pPr>
            <a:spcBef>
              <a:spcPct val="0"/>
            </a:spcBef>
            <a:spcAft>
              <a:spcPct val="15000"/>
            </a:spcAft>
          </a:pPr>
          <a:endParaRPr lang="en-AU" sz="900"/>
        </a:p>
      </dgm:t>
    </dgm:pt>
    <dgm:pt modelId="{C70EAE52-9D4F-463B-9CA2-25A142B0F71E}" type="parTrans" cxnId="{4926B17C-0F6D-4357-9B87-4736828C6E67}">
      <dgm:prSet/>
      <dgm:spPr/>
      <dgm:t>
        <a:bodyPr/>
        <a:lstStyle/>
        <a:p>
          <a:endParaRPr lang="en-AU"/>
        </a:p>
      </dgm:t>
    </dgm:pt>
    <dgm:pt modelId="{D9B6C220-395F-49D2-B7EC-C8E151E8F3BC}" type="sibTrans" cxnId="{4926B17C-0F6D-4357-9B87-4736828C6E67}">
      <dgm:prSet/>
      <dgm:spPr/>
      <dgm:t>
        <a:bodyPr/>
        <a:lstStyle/>
        <a:p>
          <a:endParaRPr lang="en-AU"/>
        </a:p>
      </dgm:t>
    </dgm:pt>
    <dgm:pt modelId="{2EDBC7DD-04F7-40B4-A314-471B39C5376F}">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Provide homlessness services.</a:t>
          </a:r>
        </a:p>
      </dgm:t>
    </dgm:pt>
    <dgm:pt modelId="{245CF243-DB11-44BB-B9A6-3BB38EDA2FEE}" type="parTrans" cxnId="{3E1D8E46-B3B3-4F65-BC0A-5A2CA67C8CC0}">
      <dgm:prSet/>
      <dgm:spPr/>
      <dgm:t>
        <a:bodyPr/>
        <a:lstStyle/>
        <a:p>
          <a:endParaRPr lang="en-AU"/>
        </a:p>
      </dgm:t>
    </dgm:pt>
    <dgm:pt modelId="{DA3967DC-ECF3-47C0-8AE1-06D99232CAB3}" type="sibTrans" cxnId="{3E1D8E46-B3B3-4F65-BC0A-5A2CA67C8CC0}">
      <dgm:prSet/>
      <dgm:spPr/>
      <dgm:t>
        <a:bodyPr/>
        <a:lstStyle/>
        <a:p>
          <a:endParaRPr lang="en-AU"/>
        </a:p>
      </dgm:t>
    </dgm:pt>
    <dgm:pt modelId="{27826DF0-E541-455A-89AB-4824C52EDF5C}">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Partner with housing entities.</a:t>
          </a:r>
        </a:p>
      </dgm:t>
    </dgm:pt>
    <dgm:pt modelId="{376EB1C4-8790-4ADD-87D5-F12DA35ABC40}" type="parTrans" cxnId="{33E81E13-5551-4BCB-A574-032D1A46DB46}">
      <dgm:prSet/>
      <dgm:spPr/>
      <dgm:t>
        <a:bodyPr/>
        <a:lstStyle/>
        <a:p>
          <a:endParaRPr lang="en-AU"/>
        </a:p>
      </dgm:t>
    </dgm:pt>
    <dgm:pt modelId="{A9DDF3BB-61C8-4D94-AC31-52C353322A3D}" type="sibTrans" cxnId="{33E81E13-5551-4BCB-A574-032D1A46DB46}">
      <dgm:prSet/>
      <dgm:spPr/>
      <dgm:t>
        <a:bodyPr/>
        <a:lstStyle/>
        <a:p>
          <a:endParaRPr lang="en-AU"/>
        </a:p>
      </dgm:t>
    </dgm:pt>
    <dgm:pt modelId="{DECE0CC6-E785-4470-93E8-4097565B5A7E}">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Provide the tenancy service.</a:t>
          </a:r>
        </a:p>
      </dgm:t>
    </dgm:pt>
    <dgm:pt modelId="{F266FAF0-0B65-455A-AB93-D3F3A9ED2EC7}" type="parTrans" cxnId="{4B9AE531-F69A-4B9F-B97B-33252E49AA45}">
      <dgm:prSet/>
      <dgm:spPr/>
      <dgm:t>
        <a:bodyPr/>
        <a:lstStyle/>
        <a:p>
          <a:endParaRPr lang="en-AU"/>
        </a:p>
      </dgm:t>
    </dgm:pt>
    <dgm:pt modelId="{EBEFA4D2-1EDF-4AF6-96A5-48FB2CD7BC33}" type="sibTrans" cxnId="{4B9AE531-F69A-4B9F-B97B-33252E49AA45}">
      <dgm:prSet/>
      <dgm:spPr/>
      <dgm:t>
        <a:bodyPr/>
        <a:lstStyle/>
        <a:p>
          <a:endParaRPr lang="en-AU"/>
        </a:p>
      </dgm:t>
    </dgm:pt>
    <dgm:pt modelId="{68031960-CB31-4CCF-94E8-A491D66FB450}">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Manage housing stock. </a:t>
          </a:r>
        </a:p>
      </dgm:t>
    </dgm:pt>
    <dgm:pt modelId="{0261D915-8BDC-4E21-8C97-3BAE2E4CC357}" type="parTrans" cxnId="{AC21D587-BF26-4167-ACBA-D29A8114D8E4}">
      <dgm:prSet/>
      <dgm:spPr/>
      <dgm:t>
        <a:bodyPr/>
        <a:lstStyle/>
        <a:p>
          <a:endParaRPr lang="en-AU"/>
        </a:p>
      </dgm:t>
    </dgm:pt>
    <dgm:pt modelId="{4D8DB3C5-34E3-472D-93F6-F5A375E6A2D8}" type="sibTrans" cxnId="{AC21D587-BF26-4167-ACBA-D29A8114D8E4}">
      <dgm:prSet/>
      <dgm:spPr/>
      <dgm:t>
        <a:bodyPr/>
        <a:lstStyle/>
        <a:p>
          <a:endParaRPr lang="en-AU"/>
        </a:p>
      </dgm:t>
    </dgm:pt>
    <dgm:pt modelId="{DE801ADC-A7BF-48A9-953B-418C259F21D3}">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Being a provider of services.</a:t>
          </a:r>
        </a:p>
      </dgm:t>
    </dgm:pt>
    <dgm:pt modelId="{69EDAA82-FA8B-47DF-AB68-E386226E88D9}" type="parTrans" cxnId="{FC44DE9A-9B79-4518-AFA7-00173613E673}">
      <dgm:prSet/>
      <dgm:spPr/>
      <dgm:t>
        <a:bodyPr/>
        <a:lstStyle/>
        <a:p>
          <a:endParaRPr lang="en-AU"/>
        </a:p>
      </dgm:t>
    </dgm:pt>
    <dgm:pt modelId="{094037D8-3903-4B83-8194-8188E5E6CB04}" type="sibTrans" cxnId="{FC44DE9A-9B79-4518-AFA7-00173613E673}">
      <dgm:prSet/>
      <dgm:spPr/>
      <dgm:t>
        <a:bodyPr/>
        <a:lstStyle/>
        <a:p>
          <a:endParaRPr lang="en-AU"/>
        </a:p>
      </dgm:t>
    </dgm:pt>
    <dgm:pt modelId="{BF1F00AB-3777-494E-8A6C-EF727DA9A490}">
      <dgm:prSet custT="1"/>
      <dgm:spPr>
        <a:solidFill>
          <a:srgbClr val="16AAC6">
            <a:alpha val="10000"/>
          </a:srgbClr>
        </a:solidFill>
        <a:ln>
          <a:solidFill>
            <a:srgbClr val="16AAC6"/>
          </a:solidFill>
        </a:ln>
      </dgm:spPr>
      <dgm:t>
        <a:bodyPr lIns="72000" tIns="72000" rIns="72000" bIns="72000"/>
        <a:lstStyle/>
        <a:p>
          <a:pPr>
            <a:spcBef>
              <a:spcPts val="600"/>
            </a:spcBef>
            <a:spcAft>
              <a:spcPts val="600"/>
            </a:spcAft>
          </a:pPr>
          <a:r>
            <a:rPr lang="en-AU" sz="1100">
              <a:latin typeface="Arial" panose="020B0604020202020204" pitchFamily="34" charset="0"/>
              <a:cs typeface="Arial" panose="020B0604020202020204" pitchFamily="34" charset="0"/>
            </a:rPr>
            <a:t> Procuring services.</a:t>
          </a:r>
        </a:p>
      </dgm:t>
    </dgm:pt>
    <dgm:pt modelId="{3613A671-D284-426B-A9F6-0C9E91BF51F6}" type="parTrans" cxnId="{BB4CFCDB-C070-4730-A399-FD172CD81DEB}">
      <dgm:prSet/>
      <dgm:spPr/>
      <dgm:t>
        <a:bodyPr/>
        <a:lstStyle/>
        <a:p>
          <a:endParaRPr lang="en-AU"/>
        </a:p>
      </dgm:t>
    </dgm:pt>
    <dgm:pt modelId="{EF349665-620F-4D2C-B402-5C585CDB9F82}" type="sibTrans" cxnId="{BB4CFCDB-C070-4730-A399-FD172CD81DEB}">
      <dgm:prSet/>
      <dgm:spPr/>
      <dgm:t>
        <a:bodyPr/>
        <a:lstStyle/>
        <a:p>
          <a:endParaRPr lang="en-AU"/>
        </a:p>
      </dgm:t>
    </dgm:pt>
    <dgm:pt modelId="{026B7585-A4B1-4565-A028-382403331F9D}" type="pres">
      <dgm:prSet presAssocID="{D223012C-5F2D-4512-9BC6-17441BCEA8EB}" presName="diagram" presStyleCnt="0">
        <dgm:presLayoutVars>
          <dgm:chPref val="1"/>
          <dgm:dir/>
          <dgm:animOne val="branch"/>
          <dgm:animLvl val="lvl"/>
          <dgm:resizeHandles/>
        </dgm:presLayoutVars>
      </dgm:prSet>
      <dgm:spPr/>
    </dgm:pt>
    <dgm:pt modelId="{2B6BE158-04F2-47DD-9066-423397F1FAE9}" type="pres">
      <dgm:prSet presAssocID="{7A82A778-9C1E-4802-A525-5124075871F6}" presName="root" presStyleCnt="0"/>
      <dgm:spPr/>
    </dgm:pt>
    <dgm:pt modelId="{3F25B3CE-3636-405F-A904-D0484E9924D7}" type="pres">
      <dgm:prSet presAssocID="{7A82A778-9C1E-4802-A525-5124075871F6}" presName="rootComposite" presStyleCnt="0"/>
      <dgm:spPr/>
    </dgm:pt>
    <dgm:pt modelId="{1A07477E-5B8F-43D0-AD26-C265BA2C49A7}" type="pres">
      <dgm:prSet presAssocID="{7A82A778-9C1E-4802-A525-5124075871F6}" presName="rootText" presStyleLbl="node1" presStyleIdx="0" presStyleCnt="2" custScaleY="36827"/>
      <dgm:spPr>
        <a:prstGeom prst="rect">
          <a:avLst/>
        </a:prstGeom>
      </dgm:spPr>
    </dgm:pt>
    <dgm:pt modelId="{D071E150-A1E0-4C56-9D41-5A9331F6DF5F}" type="pres">
      <dgm:prSet presAssocID="{7A82A778-9C1E-4802-A525-5124075871F6}" presName="rootConnector" presStyleLbl="node1" presStyleIdx="0" presStyleCnt="2"/>
      <dgm:spPr/>
    </dgm:pt>
    <dgm:pt modelId="{45AFCE49-EB5E-4527-9C63-A453F7F9A9C4}" type="pres">
      <dgm:prSet presAssocID="{7A82A778-9C1E-4802-A525-5124075871F6}" presName="childShape" presStyleCnt="0"/>
      <dgm:spPr/>
    </dgm:pt>
    <dgm:pt modelId="{04F8DD4B-A1FB-4437-8944-068EDAE71D55}" type="pres">
      <dgm:prSet presAssocID="{2B3B3A5E-B996-4EF0-9019-87389058AE3A}" presName="Name13" presStyleLbl="parChTrans1D2" presStyleIdx="0" presStyleCnt="2"/>
      <dgm:spPr/>
    </dgm:pt>
    <dgm:pt modelId="{EF7C58D6-C9DC-451F-BB5D-3778794E166B}" type="pres">
      <dgm:prSet presAssocID="{3C170B25-1FDA-415B-B13C-89C8A75E504F}" presName="childText" presStyleLbl="bgAcc1" presStyleIdx="0" presStyleCnt="2" custScaleX="111900" custScaleY="145257">
        <dgm:presLayoutVars>
          <dgm:bulletEnabled val="1"/>
        </dgm:presLayoutVars>
      </dgm:prSet>
      <dgm:spPr>
        <a:prstGeom prst="rect">
          <a:avLst/>
        </a:prstGeom>
      </dgm:spPr>
    </dgm:pt>
    <dgm:pt modelId="{21936881-AA26-4EEA-8F70-51F72F6953A2}" type="pres">
      <dgm:prSet presAssocID="{3B4513E6-C489-4C7A-AE0A-1F371DB97F70}" presName="root" presStyleCnt="0"/>
      <dgm:spPr/>
    </dgm:pt>
    <dgm:pt modelId="{29DBCF8C-3EE6-4D6F-8B10-0DA215573F58}" type="pres">
      <dgm:prSet presAssocID="{3B4513E6-C489-4C7A-AE0A-1F371DB97F70}" presName="rootComposite" presStyleCnt="0"/>
      <dgm:spPr/>
    </dgm:pt>
    <dgm:pt modelId="{523E8809-F4FF-42C9-8AF2-1C8C0F90C8AB}" type="pres">
      <dgm:prSet presAssocID="{3B4513E6-C489-4C7A-AE0A-1F371DB97F70}" presName="rootText" presStyleLbl="node1" presStyleIdx="1" presStyleCnt="2" custScaleX="113328" custScaleY="36827"/>
      <dgm:spPr>
        <a:prstGeom prst="rect">
          <a:avLst/>
        </a:prstGeom>
      </dgm:spPr>
    </dgm:pt>
    <dgm:pt modelId="{8EB3535E-7034-46C6-8C2C-AF459CA4EE11}" type="pres">
      <dgm:prSet presAssocID="{3B4513E6-C489-4C7A-AE0A-1F371DB97F70}" presName="rootConnector" presStyleLbl="node1" presStyleIdx="1" presStyleCnt="2"/>
      <dgm:spPr/>
    </dgm:pt>
    <dgm:pt modelId="{7DEF4170-404F-4263-8EBC-5786CD123925}" type="pres">
      <dgm:prSet presAssocID="{3B4513E6-C489-4C7A-AE0A-1F371DB97F70}" presName="childShape" presStyleCnt="0"/>
      <dgm:spPr/>
    </dgm:pt>
    <dgm:pt modelId="{18E5B195-19BC-408D-BCB9-752E5981941F}" type="pres">
      <dgm:prSet presAssocID="{0DDD1EF1-FFD8-445E-A607-223B87F5D8BA}" presName="Name13" presStyleLbl="parChTrans1D2" presStyleIdx="1" presStyleCnt="2"/>
      <dgm:spPr/>
    </dgm:pt>
    <dgm:pt modelId="{1439F024-D9B6-4A34-8D4B-01E82E15B059}" type="pres">
      <dgm:prSet presAssocID="{C3E75AE7-963E-4B5B-AF84-0AB3A292E850}" presName="childText" presStyleLbl="bgAcc1" presStyleIdx="1" presStyleCnt="2" custScaleX="117576" custScaleY="193890">
        <dgm:presLayoutVars>
          <dgm:bulletEnabled val="1"/>
        </dgm:presLayoutVars>
      </dgm:prSet>
      <dgm:spPr>
        <a:prstGeom prst="rect">
          <a:avLst/>
        </a:prstGeom>
      </dgm:spPr>
    </dgm:pt>
  </dgm:ptLst>
  <dgm:cxnLst>
    <dgm:cxn modelId="{7DB9EB00-481D-4C7B-AA50-0EB93CCD03E0}" srcId="{7A82A778-9C1E-4802-A525-5124075871F6}" destId="{3C170B25-1FDA-415B-B13C-89C8A75E504F}" srcOrd="0" destOrd="0" parTransId="{2B3B3A5E-B996-4EF0-9019-87389058AE3A}" sibTransId="{587B9658-7BD9-46C4-9F53-34BB977279D8}"/>
    <dgm:cxn modelId="{F384DA03-29D4-43C0-9638-C4EFEB0C38F7}" type="presOf" srcId="{3B4513E6-C489-4C7A-AE0A-1F371DB97F70}" destId="{523E8809-F4FF-42C9-8AF2-1C8C0F90C8AB}" srcOrd="0" destOrd="0" presId="urn:microsoft.com/office/officeart/2005/8/layout/hierarchy3"/>
    <dgm:cxn modelId="{FC9D1808-6BA8-4649-AC73-BC20E9473DB2}" type="presOf" srcId="{7A82A778-9C1E-4802-A525-5124075871F6}" destId="{1A07477E-5B8F-43D0-AD26-C265BA2C49A7}" srcOrd="0" destOrd="0" presId="urn:microsoft.com/office/officeart/2005/8/layout/hierarchy3"/>
    <dgm:cxn modelId="{D6953E09-3001-4C11-84DA-4B14D4351D1C}" type="presOf" srcId="{27826DF0-E541-455A-89AB-4824C52EDF5C}" destId="{EF7C58D6-C9DC-451F-BB5D-3778794E166B}" srcOrd="0" destOrd="3" presId="urn:microsoft.com/office/officeart/2005/8/layout/hierarchy3"/>
    <dgm:cxn modelId="{33E81E13-5551-4BCB-A574-032D1A46DB46}" srcId="{3C170B25-1FDA-415B-B13C-89C8A75E504F}" destId="{27826DF0-E541-455A-89AB-4824C52EDF5C}" srcOrd="2" destOrd="0" parTransId="{376EB1C4-8790-4ADD-87D5-F12DA35ABC40}" sibTransId="{A9DDF3BB-61C8-4D94-AC31-52C353322A3D}"/>
    <dgm:cxn modelId="{2A8AF815-E9BB-4B17-B4D6-DEF8B3A406CB}" type="presOf" srcId="{AED23A35-54DE-4618-910B-80EC9161EC28}" destId="{EF7C58D6-C9DC-451F-BB5D-3778794E166B}" srcOrd="0" destOrd="7" presId="urn:microsoft.com/office/officeart/2005/8/layout/hierarchy3"/>
    <dgm:cxn modelId="{8FF5A71D-F2B0-48C9-92EA-E5CAB2F1569D}" srcId="{3C170B25-1FDA-415B-B13C-89C8A75E504F}" destId="{36B84645-50AF-4395-ABFD-A7D51AFC25B8}" srcOrd="0" destOrd="0" parTransId="{548BB308-52B1-4B19-99CC-294BB388AE4D}" sibTransId="{A6E4241F-6DA2-4D38-B08E-159A00B67A53}"/>
    <dgm:cxn modelId="{A9570D29-966B-4C01-AD42-4CDD6E67D553}" srcId="{C3E75AE7-963E-4B5B-AF84-0AB3A292E850}" destId="{01F52189-AA6D-47A2-A643-B660851C0674}" srcOrd="7" destOrd="0" parTransId="{2AB68024-FFD5-461F-AD87-039116CFBB4D}" sibTransId="{2A3011D8-CB21-4C11-B8DE-99511FB63BCC}"/>
    <dgm:cxn modelId="{4B9C482A-AF70-4915-8DBD-7545AFBAA717}" type="presOf" srcId="{36B84645-50AF-4395-ABFD-A7D51AFC25B8}" destId="{EF7C58D6-C9DC-451F-BB5D-3778794E166B}" srcOrd="0" destOrd="1" presId="urn:microsoft.com/office/officeart/2005/8/layout/hierarchy3"/>
    <dgm:cxn modelId="{DC14FC2F-4737-4249-86C2-08B439120464}" type="presOf" srcId="{2FAACAD5-1B3C-4D85-8387-4B4FFB4F7C41}" destId="{1439F024-D9B6-4A34-8D4B-01E82E15B059}" srcOrd="0" destOrd="4" presId="urn:microsoft.com/office/officeart/2005/8/layout/hierarchy3"/>
    <dgm:cxn modelId="{4B9AE531-F69A-4B9F-B97B-33252E49AA45}" srcId="{3C170B25-1FDA-415B-B13C-89C8A75E504F}" destId="{DECE0CC6-E785-4470-93E8-4097565B5A7E}" srcOrd="3" destOrd="0" parTransId="{F266FAF0-0B65-455A-AB93-D3F3A9ED2EC7}" sibTransId="{EBEFA4D2-1EDF-4AF6-96A5-48FB2CD7BC33}"/>
    <dgm:cxn modelId="{7E093D3E-FBCA-4D1B-9C6C-54796D1B9EC4}" srcId="{C3E75AE7-963E-4B5B-AF84-0AB3A292E850}" destId="{8AC7FFF6-A8B9-47F1-AC0A-C50CC3E0756A}" srcOrd="1" destOrd="0" parTransId="{9305C1A3-D358-4451-BB11-84E69C667D2B}" sibTransId="{C48B1ADB-6008-43BB-8D48-46B23EF80144}"/>
    <dgm:cxn modelId="{5FC82D41-065B-47B0-8A84-53BAE3427A53}" type="presOf" srcId="{ACE244F5-4078-4B39-8191-C409FE05E42B}" destId="{1439F024-D9B6-4A34-8D4B-01E82E15B059}" srcOrd="0" destOrd="5" presId="urn:microsoft.com/office/officeart/2005/8/layout/hierarchy3"/>
    <dgm:cxn modelId="{22D81D45-48FD-4000-80E7-76FB87DCF631}" type="presOf" srcId="{6C7D5473-D281-4A7D-B9FE-4367DDB3E087}" destId="{1439F024-D9B6-4A34-8D4B-01E82E15B059}" srcOrd="0" destOrd="1" presId="urn:microsoft.com/office/officeart/2005/8/layout/hierarchy3"/>
    <dgm:cxn modelId="{3E1D8E46-B3B3-4F65-BC0A-5A2CA67C8CC0}" srcId="{3C170B25-1FDA-415B-B13C-89C8A75E504F}" destId="{2EDBC7DD-04F7-40B4-A314-471B39C5376F}" srcOrd="1" destOrd="0" parTransId="{245CF243-DB11-44BB-B9A6-3BB38EDA2FEE}" sibTransId="{DA3967DC-ECF3-47C0-8AE1-06D99232CAB3}"/>
    <dgm:cxn modelId="{F0CA9F46-9C3E-4D90-B40A-E9501BC0403C}" type="presOf" srcId="{2B3B3A5E-B996-4EF0-9019-87389058AE3A}" destId="{04F8DD4B-A1FB-4437-8944-068EDAE71D55}" srcOrd="0" destOrd="0" presId="urn:microsoft.com/office/officeart/2005/8/layout/hierarchy3"/>
    <dgm:cxn modelId="{13F7B172-8DD3-4FE0-9C5E-01FEF07BA07E}" type="presOf" srcId="{7A82A778-9C1E-4802-A525-5124075871F6}" destId="{D071E150-A1E0-4C56-9D41-5A9331F6DF5F}" srcOrd="1" destOrd="0" presId="urn:microsoft.com/office/officeart/2005/8/layout/hierarchy3"/>
    <dgm:cxn modelId="{04C66376-AD25-41F9-AD13-23F6A4BFDB86}" type="presOf" srcId="{C3E75AE7-963E-4B5B-AF84-0AB3A292E850}" destId="{1439F024-D9B6-4A34-8D4B-01E82E15B059}" srcOrd="0" destOrd="0" presId="urn:microsoft.com/office/officeart/2005/8/layout/hierarchy3"/>
    <dgm:cxn modelId="{A4CE257C-636F-4237-9BAD-069AC76500B4}" type="presOf" srcId="{01F52189-AA6D-47A2-A643-B660851C0674}" destId="{1439F024-D9B6-4A34-8D4B-01E82E15B059}" srcOrd="0" destOrd="8" presId="urn:microsoft.com/office/officeart/2005/8/layout/hierarchy3"/>
    <dgm:cxn modelId="{4926B17C-0F6D-4357-9B87-4736828C6E67}" srcId="{3C170B25-1FDA-415B-B13C-89C8A75E504F}" destId="{AED23A35-54DE-4618-910B-80EC9161EC28}" srcOrd="6" destOrd="0" parTransId="{C70EAE52-9D4F-463B-9CA2-25A142B0F71E}" sibTransId="{D9B6C220-395F-49D2-B7EC-C8E151E8F3BC}"/>
    <dgm:cxn modelId="{2BA23580-63A3-4B9F-A942-5E5636F24D2D}" srcId="{C3E75AE7-963E-4B5B-AF84-0AB3A292E850}" destId="{2FAACAD5-1B3C-4D85-8387-4B4FFB4F7C41}" srcOrd="3" destOrd="0" parTransId="{E9D4E276-F292-4805-8724-D5F11EFF8C50}" sibTransId="{CB26F346-ED1C-459C-BC19-E6EA11D58C04}"/>
    <dgm:cxn modelId="{AC21D587-BF26-4167-ACBA-D29A8114D8E4}" srcId="{3C170B25-1FDA-415B-B13C-89C8A75E504F}" destId="{68031960-CB31-4CCF-94E8-A491D66FB450}" srcOrd="4" destOrd="0" parTransId="{0261D915-8BDC-4E21-8C97-3BAE2E4CC357}" sibTransId="{4D8DB3C5-34E3-472D-93F6-F5A375E6A2D8}"/>
    <dgm:cxn modelId="{DDD35388-45F0-4B61-8C8A-5AFB3D6617A9}" type="presOf" srcId="{2EDBC7DD-04F7-40B4-A314-471B39C5376F}" destId="{EF7C58D6-C9DC-451F-BB5D-3778794E166B}" srcOrd="0" destOrd="2" presId="urn:microsoft.com/office/officeart/2005/8/layout/hierarchy3"/>
    <dgm:cxn modelId="{22EB0D89-6E30-4059-AA1C-FD80F43A7689}" type="presOf" srcId="{02907651-4CE4-44D4-A152-01280C644222}" destId="{1439F024-D9B6-4A34-8D4B-01E82E15B059}" srcOrd="0" destOrd="3" presId="urn:microsoft.com/office/officeart/2005/8/layout/hierarchy3"/>
    <dgm:cxn modelId="{4427A590-7272-4D57-BC38-3D2AEC607F6E}" srcId="{C3E75AE7-963E-4B5B-AF84-0AB3A292E850}" destId="{6C7D5473-D281-4A7D-B9FE-4367DDB3E087}" srcOrd="0" destOrd="0" parTransId="{E1C7C0BD-0010-4DF8-A8DD-FAC019DC3A35}" sibTransId="{190B466E-ED20-4C1D-B99F-EF62BFF3D3CB}"/>
    <dgm:cxn modelId="{E5CF2192-58A7-4885-A908-2E92B5BB04E3}" type="presOf" srcId="{8AC7FFF6-A8B9-47F1-AC0A-C50CC3E0756A}" destId="{1439F024-D9B6-4A34-8D4B-01E82E15B059}" srcOrd="0" destOrd="2" presId="urn:microsoft.com/office/officeart/2005/8/layout/hierarchy3"/>
    <dgm:cxn modelId="{772FD194-2004-423D-8A02-23DCDABC87DD}" srcId="{C3E75AE7-963E-4B5B-AF84-0AB3A292E850}" destId="{ACE244F5-4078-4B39-8191-C409FE05E42B}" srcOrd="4" destOrd="0" parTransId="{5C5FF80B-FA1F-4F4A-9F6D-CFC3DDC0C3C8}" sibTransId="{400B2286-33D5-4831-9FA4-FE5CBCB21986}"/>
    <dgm:cxn modelId="{BA91D096-7B90-4688-9FD2-8D4FDC4AE35E}" srcId="{3B4513E6-C489-4C7A-AE0A-1F371DB97F70}" destId="{C3E75AE7-963E-4B5B-AF84-0AB3A292E850}" srcOrd="0" destOrd="0" parTransId="{0DDD1EF1-FFD8-445E-A607-223B87F5D8BA}" sibTransId="{D0CCA399-2BFF-40F8-9D2C-47919268A6AB}"/>
    <dgm:cxn modelId="{FC44DE9A-9B79-4518-AFA7-00173613E673}" srcId="{3C170B25-1FDA-415B-B13C-89C8A75E504F}" destId="{DE801ADC-A7BF-48A9-953B-418C259F21D3}" srcOrd="5" destOrd="0" parTransId="{69EDAA82-FA8B-47DF-AB68-E386226E88D9}" sibTransId="{094037D8-3903-4B83-8194-8188E5E6CB04}"/>
    <dgm:cxn modelId="{AAD08B9D-FF0F-46CE-9276-8B75830C874B}" type="presOf" srcId="{3C170B25-1FDA-415B-B13C-89C8A75E504F}" destId="{EF7C58D6-C9DC-451F-BB5D-3778794E166B}" srcOrd="0" destOrd="0" presId="urn:microsoft.com/office/officeart/2005/8/layout/hierarchy3"/>
    <dgm:cxn modelId="{1031EFA3-1795-4692-A8CB-0A29030C9119}" type="presOf" srcId="{DECE0CC6-E785-4470-93E8-4097565B5A7E}" destId="{EF7C58D6-C9DC-451F-BB5D-3778794E166B}" srcOrd="0" destOrd="4" presId="urn:microsoft.com/office/officeart/2005/8/layout/hierarchy3"/>
    <dgm:cxn modelId="{28FA69B5-C05E-49D5-9B62-D2B13412B0C5}" srcId="{D223012C-5F2D-4512-9BC6-17441BCEA8EB}" destId="{3B4513E6-C489-4C7A-AE0A-1F371DB97F70}" srcOrd="1" destOrd="0" parTransId="{E625BB60-192C-4DD6-913C-C029A9606F93}" sibTransId="{277F7F07-D49F-4A88-8144-F1EE4D84CD4F}"/>
    <dgm:cxn modelId="{5AAEC1BB-823B-46C4-9D56-6A9B7B6D050D}" type="presOf" srcId="{68031960-CB31-4CCF-94E8-A491D66FB450}" destId="{EF7C58D6-C9DC-451F-BB5D-3778794E166B}" srcOrd="0" destOrd="5" presId="urn:microsoft.com/office/officeart/2005/8/layout/hierarchy3"/>
    <dgm:cxn modelId="{B1B211BD-919E-43D7-90E6-297E6CED5D10}" type="presOf" srcId="{FD984B6C-6204-473F-A957-792ACAACEAB6}" destId="{1439F024-D9B6-4A34-8D4B-01E82E15B059}" srcOrd="0" destOrd="6" presId="urn:microsoft.com/office/officeart/2005/8/layout/hierarchy3"/>
    <dgm:cxn modelId="{3FD823BF-FE7D-41E5-9DC0-D264CCD670D0}" srcId="{C3E75AE7-963E-4B5B-AF84-0AB3A292E850}" destId="{FD984B6C-6204-473F-A957-792ACAACEAB6}" srcOrd="5" destOrd="0" parTransId="{8C68F432-9A8D-4C95-9821-B0CACD00210D}" sibTransId="{302D2C7E-1B66-4177-AC87-BF91695D84EF}"/>
    <dgm:cxn modelId="{48BCF4C3-2DA3-413D-AB31-2974B5B24FF1}" srcId="{C3E75AE7-963E-4B5B-AF84-0AB3A292E850}" destId="{02907651-4CE4-44D4-A152-01280C644222}" srcOrd="2" destOrd="0" parTransId="{CE3740C6-B11F-44DE-A461-E50DD3413434}" sibTransId="{48263FDB-737E-4A17-825E-6045E4257FA9}"/>
    <dgm:cxn modelId="{F5AB47E7-E28F-40B1-9E1C-C4470453D5D2}" type="presOf" srcId="{0DDD1EF1-FFD8-445E-A607-223B87F5D8BA}" destId="{18E5B195-19BC-408D-BCB9-752E5981941F}" srcOrd="0" destOrd="0" presId="urn:microsoft.com/office/officeart/2005/8/layout/hierarchy3"/>
    <dgm:cxn modelId="{08092BEB-401E-4718-94CC-1C504B397A4D}" type="presOf" srcId="{D223012C-5F2D-4512-9BC6-17441BCEA8EB}" destId="{026B7585-A4B1-4565-A028-382403331F9D}" srcOrd="0" destOrd="0" presId="urn:microsoft.com/office/officeart/2005/8/layout/hierarchy3"/>
    <dgm:cxn modelId="{6E2D2ACD-BCCE-494B-8E26-4BF0459AAAB1}" type="presOf" srcId="{BF1F00AB-3777-494E-8A6C-EF727DA9A490}" destId="{1439F024-D9B6-4A34-8D4B-01E82E15B059}" srcOrd="0" destOrd="7" presId="urn:microsoft.com/office/officeart/2005/8/layout/hierarchy3"/>
    <dgm:cxn modelId="{F6970DCF-C9D3-484C-A2F8-9F56938B72C8}" type="presOf" srcId="{3B4513E6-C489-4C7A-AE0A-1F371DB97F70}" destId="{8EB3535E-7034-46C6-8C2C-AF459CA4EE11}" srcOrd="1" destOrd="0" presId="urn:microsoft.com/office/officeart/2005/8/layout/hierarchy3"/>
    <dgm:cxn modelId="{C05B21D3-B7AE-45AA-8A1B-93FDBBE1A860}" srcId="{D223012C-5F2D-4512-9BC6-17441BCEA8EB}" destId="{7A82A778-9C1E-4802-A525-5124075871F6}" srcOrd="0" destOrd="0" parTransId="{A202B628-10CB-4B57-85C0-7BCB9E67B8FC}" sibTransId="{59668BCA-9EE8-4622-8201-CADCB19BA6D5}"/>
    <dgm:cxn modelId="{BB4CFCDB-C070-4730-A399-FD172CD81DEB}" srcId="{C3E75AE7-963E-4B5B-AF84-0AB3A292E850}" destId="{BF1F00AB-3777-494E-8A6C-EF727DA9A490}" srcOrd="6" destOrd="0" parTransId="{3613A671-D284-426B-A9F6-0C9E91BF51F6}" sibTransId="{EF349665-620F-4D2C-B402-5C585CDB9F82}"/>
    <dgm:cxn modelId="{C512BBFC-46B4-44D8-9D6A-320116326812}" type="presOf" srcId="{DE801ADC-A7BF-48A9-953B-418C259F21D3}" destId="{EF7C58D6-C9DC-451F-BB5D-3778794E166B}" srcOrd="0" destOrd="6" presId="urn:microsoft.com/office/officeart/2005/8/layout/hierarchy3"/>
    <dgm:cxn modelId="{AC961B6C-9FDA-452A-809D-E7E7B76F8578}" type="presParOf" srcId="{026B7585-A4B1-4565-A028-382403331F9D}" destId="{2B6BE158-04F2-47DD-9066-423397F1FAE9}" srcOrd="0" destOrd="0" presId="urn:microsoft.com/office/officeart/2005/8/layout/hierarchy3"/>
    <dgm:cxn modelId="{979A151C-DA70-4CD1-8637-5D36CB22CC52}" type="presParOf" srcId="{2B6BE158-04F2-47DD-9066-423397F1FAE9}" destId="{3F25B3CE-3636-405F-A904-D0484E9924D7}" srcOrd="0" destOrd="0" presId="urn:microsoft.com/office/officeart/2005/8/layout/hierarchy3"/>
    <dgm:cxn modelId="{894003F4-A0EF-4BAB-AAB2-F02DB2765840}" type="presParOf" srcId="{3F25B3CE-3636-405F-A904-D0484E9924D7}" destId="{1A07477E-5B8F-43D0-AD26-C265BA2C49A7}" srcOrd="0" destOrd="0" presId="urn:microsoft.com/office/officeart/2005/8/layout/hierarchy3"/>
    <dgm:cxn modelId="{33A3BBC7-5408-466C-B279-C94B29891347}" type="presParOf" srcId="{3F25B3CE-3636-405F-A904-D0484E9924D7}" destId="{D071E150-A1E0-4C56-9D41-5A9331F6DF5F}" srcOrd="1" destOrd="0" presId="urn:microsoft.com/office/officeart/2005/8/layout/hierarchy3"/>
    <dgm:cxn modelId="{F40B3049-2678-4A9D-94CB-9581339341A9}" type="presParOf" srcId="{2B6BE158-04F2-47DD-9066-423397F1FAE9}" destId="{45AFCE49-EB5E-4527-9C63-A453F7F9A9C4}" srcOrd="1" destOrd="0" presId="urn:microsoft.com/office/officeart/2005/8/layout/hierarchy3"/>
    <dgm:cxn modelId="{A7A9D9CB-5573-47B1-B7D3-98A36D1F8464}" type="presParOf" srcId="{45AFCE49-EB5E-4527-9C63-A453F7F9A9C4}" destId="{04F8DD4B-A1FB-4437-8944-068EDAE71D55}" srcOrd="0" destOrd="0" presId="urn:microsoft.com/office/officeart/2005/8/layout/hierarchy3"/>
    <dgm:cxn modelId="{170CFC8F-015E-4F0B-9AFA-3BB7BE386FE0}" type="presParOf" srcId="{45AFCE49-EB5E-4527-9C63-A453F7F9A9C4}" destId="{EF7C58D6-C9DC-451F-BB5D-3778794E166B}" srcOrd="1" destOrd="0" presId="urn:microsoft.com/office/officeart/2005/8/layout/hierarchy3"/>
    <dgm:cxn modelId="{3B4D89B8-6158-4EC2-8F83-BA643A24F568}" type="presParOf" srcId="{026B7585-A4B1-4565-A028-382403331F9D}" destId="{21936881-AA26-4EEA-8F70-51F72F6953A2}" srcOrd="1" destOrd="0" presId="urn:microsoft.com/office/officeart/2005/8/layout/hierarchy3"/>
    <dgm:cxn modelId="{671BB200-F715-41F6-B82E-23FEEB211416}" type="presParOf" srcId="{21936881-AA26-4EEA-8F70-51F72F6953A2}" destId="{29DBCF8C-3EE6-4D6F-8B10-0DA215573F58}" srcOrd="0" destOrd="0" presId="urn:microsoft.com/office/officeart/2005/8/layout/hierarchy3"/>
    <dgm:cxn modelId="{892B0219-0D1D-48CF-9126-33B0DB2D125F}" type="presParOf" srcId="{29DBCF8C-3EE6-4D6F-8B10-0DA215573F58}" destId="{523E8809-F4FF-42C9-8AF2-1C8C0F90C8AB}" srcOrd="0" destOrd="0" presId="urn:microsoft.com/office/officeart/2005/8/layout/hierarchy3"/>
    <dgm:cxn modelId="{F9E9C24B-1025-4774-A925-9B576973C02E}" type="presParOf" srcId="{29DBCF8C-3EE6-4D6F-8B10-0DA215573F58}" destId="{8EB3535E-7034-46C6-8C2C-AF459CA4EE11}" srcOrd="1" destOrd="0" presId="urn:microsoft.com/office/officeart/2005/8/layout/hierarchy3"/>
    <dgm:cxn modelId="{373189D4-6605-437C-872B-AEF038307E1B}" type="presParOf" srcId="{21936881-AA26-4EEA-8F70-51F72F6953A2}" destId="{7DEF4170-404F-4263-8EBC-5786CD123925}" srcOrd="1" destOrd="0" presId="urn:microsoft.com/office/officeart/2005/8/layout/hierarchy3"/>
    <dgm:cxn modelId="{732D434C-8208-4D86-9BF1-F62D013C5EBA}" type="presParOf" srcId="{7DEF4170-404F-4263-8EBC-5786CD123925}" destId="{18E5B195-19BC-408D-BCB9-752E5981941F}" srcOrd="0" destOrd="0" presId="urn:microsoft.com/office/officeart/2005/8/layout/hierarchy3"/>
    <dgm:cxn modelId="{48B7EFCD-B1D9-4CCA-A791-FD99C853B591}" type="presParOf" srcId="{7DEF4170-404F-4263-8EBC-5786CD123925}" destId="{1439F024-D9B6-4A34-8D4B-01E82E15B059}" srcOrd="1" destOrd="0" presId="urn:microsoft.com/office/officeart/2005/8/layout/hierarchy3"/>
  </dgm:cxnLst>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07477E-5B8F-43D0-AD26-C265BA2C49A7}">
      <dsp:nvSpPr>
        <dsp:cNvPr id="0" name=""/>
        <dsp:cNvSpPr/>
      </dsp:nvSpPr>
      <dsp:spPr>
        <a:xfrm>
          <a:off x="827" y="67771"/>
          <a:ext cx="2426867" cy="446871"/>
        </a:xfrm>
        <a:prstGeom prst="rect">
          <a:avLst/>
        </a:prstGeom>
        <a:solidFill>
          <a:srgbClr val="16AAC6"/>
        </a:solidFill>
        <a:ln w="12700" cap="flat" cmpd="sng" algn="ctr">
          <a:solidFill>
            <a:srgbClr val="16AAC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AU" sz="1400" b="1" kern="1200">
              <a:solidFill>
                <a:schemeClr val="bg1"/>
              </a:solidFill>
              <a:latin typeface="Arial" panose="020B0604020202020204" pitchFamily="34" charset="0"/>
              <a:cs typeface="Arial" panose="020B0604020202020204" pitchFamily="34" charset="0"/>
            </a:rPr>
            <a:t>Homes Tasmania</a:t>
          </a:r>
        </a:p>
      </dsp:txBody>
      <dsp:txXfrm>
        <a:off x="827" y="67771"/>
        <a:ext cx="2426867" cy="446871"/>
      </dsp:txXfrm>
    </dsp:sp>
    <dsp:sp modelId="{04F8DD4B-A1FB-4437-8944-068EDAE71D55}">
      <dsp:nvSpPr>
        <dsp:cNvPr id="0" name=""/>
        <dsp:cNvSpPr/>
      </dsp:nvSpPr>
      <dsp:spPr>
        <a:xfrm>
          <a:off x="243513" y="514642"/>
          <a:ext cx="242686" cy="1184657"/>
        </a:xfrm>
        <a:custGeom>
          <a:avLst/>
          <a:gdLst/>
          <a:ahLst/>
          <a:cxnLst/>
          <a:rect l="0" t="0" r="0" b="0"/>
          <a:pathLst>
            <a:path>
              <a:moveTo>
                <a:pt x="0" y="0"/>
              </a:moveTo>
              <a:lnTo>
                <a:pt x="0" y="1184657"/>
              </a:lnTo>
              <a:lnTo>
                <a:pt x="242686" y="1184657"/>
              </a:lnTo>
            </a:path>
          </a:pathLst>
        </a:custGeom>
        <a:noFill/>
        <a:ln w="12700" cap="flat" cmpd="sng" algn="ctr">
          <a:solidFill>
            <a:srgbClr val="16AAC6"/>
          </a:solidFill>
          <a:prstDash val="solid"/>
          <a:miter lim="800000"/>
        </a:ln>
        <a:effectLst/>
      </dsp:spPr>
      <dsp:style>
        <a:lnRef idx="2">
          <a:scrgbClr r="0" g="0" b="0"/>
        </a:lnRef>
        <a:fillRef idx="0">
          <a:scrgbClr r="0" g="0" b="0"/>
        </a:fillRef>
        <a:effectRef idx="0">
          <a:scrgbClr r="0" g="0" b="0"/>
        </a:effectRef>
        <a:fontRef idx="minor"/>
      </dsp:style>
    </dsp:sp>
    <dsp:sp modelId="{EF7C58D6-C9DC-451F-BB5D-3778794E166B}">
      <dsp:nvSpPr>
        <dsp:cNvPr id="0" name=""/>
        <dsp:cNvSpPr/>
      </dsp:nvSpPr>
      <dsp:spPr>
        <a:xfrm>
          <a:off x="486200" y="818001"/>
          <a:ext cx="2172532" cy="1762597"/>
        </a:xfrm>
        <a:prstGeom prst="rect">
          <a:avLst/>
        </a:prstGeom>
        <a:solidFill>
          <a:srgbClr val="16AAC6">
            <a:alpha val="10000"/>
          </a:srgbClr>
        </a:solidFill>
        <a:ln w="12700" cap="flat" cmpd="sng" algn="ctr">
          <a:solidFill>
            <a:srgbClr val="16AAC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2000" tIns="72000" rIns="72000" bIns="72000" numCol="1" spcCol="1270" anchor="t" anchorCtr="0">
          <a:noAutofit/>
        </a:bodyPr>
        <a:lstStyle/>
        <a:p>
          <a:pPr marL="0" lvl="0" indent="0" algn="l" defTabSz="533400">
            <a:lnSpc>
              <a:spcPct val="90000"/>
            </a:lnSpc>
            <a:spcBef>
              <a:spcPct val="0"/>
            </a:spcBef>
            <a:spcAft>
              <a:spcPct val="35000"/>
            </a:spcAft>
            <a:buNone/>
          </a:pPr>
          <a:r>
            <a:rPr lang="en-AU" sz="1200" b="1" kern="1200">
              <a:latin typeface="Arial" panose="020B0604020202020204" pitchFamily="34" charset="0"/>
              <a:cs typeface="Arial" panose="020B0604020202020204" pitchFamily="34" charset="0"/>
            </a:rPr>
            <a:t>Focus areas</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Build more homes.</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Provide homlessness services.</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Partner with housing entities.</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Provide the tenancy service.</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Manage housing stock. </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Being a provider of services.</a:t>
          </a:r>
        </a:p>
        <a:p>
          <a:pPr marL="57150" lvl="1" indent="-57150" algn="l" defTabSz="400050">
            <a:lnSpc>
              <a:spcPct val="90000"/>
            </a:lnSpc>
            <a:spcBef>
              <a:spcPct val="0"/>
            </a:spcBef>
            <a:spcAft>
              <a:spcPct val="15000"/>
            </a:spcAft>
            <a:buChar char="•"/>
          </a:pPr>
          <a:endParaRPr lang="en-AU" sz="900" kern="1200"/>
        </a:p>
      </dsp:txBody>
      <dsp:txXfrm>
        <a:off x="486200" y="818001"/>
        <a:ext cx="2172532" cy="1762597"/>
      </dsp:txXfrm>
    </dsp:sp>
    <dsp:sp modelId="{523E8809-F4FF-42C9-8AF2-1C8C0F90C8AB}">
      <dsp:nvSpPr>
        <dsp:cNvPr id="0" name=""/>
        <dsp:cNvSpPr/>
      </dsp:nvSpPr>
      <dsp:spPr>
        <a:xfrm>
          <a:off x="3034412" y="67771"/>
          <a:ext cx="2750320" cy="446871"/>
        </a:xfrm>
        <a:prstGeom prst="rect">
          <a:avLst/>
        </a:prstGeom>
        <a:solidFill>
          <a:srgbClr val="16AAC6"/>
        </a:solidFill>
        <a:ln w="12700" cap="flat" cmpd="sng" algn="ctr">
          <a:solidFill>
            <a:srgbClr val="16AAC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AU" sz="1400" b="1" kern="1200">
              <a:solidFill>
                <a:schemeClr val="bg1"/>
              </a:solidFill>
              <a:latin typeface="Arial" panose="020B0604020202020204" pitchFamily="34" charset="0"/>
              <a:cs typeface="Arial" panose="020B0604020202020204" pitchFamily="34" charset="0"/>
            </a:rPr>
            <a:t>Department of State Growth</a:t>
          </a:r>
        </a:p>
      </dsp:txBody>
      <dsp:txXfrm>
        <a:off x="3034412" y="67771"/>
        <a:ext cx="2750320" cy="446871"/>
      </dsp:txXfrm>
    </dsp:sp>
    <dsp:sp modelId="{18E5B195-19BC-408D-BCB9-752E5981941F}">
      <dsp:nvSpPr>
        <dsp:cNvPr id="0" name=""/>
        <dsp:cNvSpPr/>
      </dsp:nvSpPr>
      <dsp:spPr>
        <a:xfrm>
          <a:off x="3309444" y="514642"/>
          <a:ext cx="275032" cy="1479722"/>
        </a:xfrm>
        <a:custGeom>
          <a:avLst/>
          <a:gdLst/>
          <a:ahLst/>
          <a:cxnLst/>
          <a:rect l="0" t="0" r="0" b="0"/>
          <a:pathLst>
            <a:path>
              <a:moveTo>
                <a:pt x="0" y="0"/>
              </a:moveTo>
              <a:lnTo>
                <a:pt x="0" y="1479722"/>
              </a:lnTo>
              <a:lnTo>
                <a:pt x="275032" y="1479722"/>
              </a:lnTo>
            </a:path>
          </a:pathLst>
        </a:custGeom>
        <a:noFill/>
        <a:ln w="12700" cap="flat" cmpd="sng" algn="ctr">
          <a:solidFill>
            <a:srgbClr val="16AAC6"/>
          </a:solidFill>
          <a:prstDash val="solid"/>
          <a:miter lim="800000"/>
        </a:ln>
        <a:effectLst/>
      </dsp:spPr>
      <dsp:style>
        <a:lnRef idx="2">
          <a:scrgbClr r="0" g="0" b="0"/>
        </a:lnRef>
        <a:fillRef idx="0">
          <a:scrgbClr r="0" g="0" b="0"/>
        </a:fillRef>
        <a:effectRef idx="0">
          <a:scrgbClr r="0" g="0" b="0"/>
        </a:effectRef>
        <a:fontRef idx="minor"/>
      </dsp:style>
    </dsp:sp>
    <dsp:sp modelId="{1439F024-D9B6-4A34-8D4B-01E82E15B059}">
      <dsp:nvSpPr>
        <dsp:cNvPr id="0" name=""/>
        <dsp:cNvSpPr/>
      </dsp:nvSpPr>
      <dsp:spPr>
        <a:xfrm>
          <a:off x="3584476" y="818001"/>
          <a:ext cx="2282731" cy="2352727"/>
        </a:xfrm>
        <a:prstGeom prst="rect">
          <a:avLst/>
        </a:prstGeom>
        <a:solidFill>
          <a:srgbClr val="16AAC6">
            <a:alpha val="10000"/>
          </a:srgbClr>
        </a:solidFill>
        <a:ln w="12700" cap="flat" cmpd="sng" algn="ctr">
          <a:solidFill>
            <a:srgbClr val="16AAC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2000" tIns="72000" rIns="72000" bIns="72000" numCol="1" spcCol="1270" anchor="t" anchorCtr="0">
          <a:noAutofit/>
        </a:bodyPr>
        <a:lstStyle/>
        <a:p>
          <a:pPr marL="0" lvl="0" indent="0" algn="l" defTabSz="533400">
            <a:lnSpc>
              <a:spcPct val="90000"/>
            </a:lnSpc>
            <a:spcBef>
              <a:spcPct val="0"/>
            </a:spcBef>
            <a:spcAft>
              <a:spcPct val="35000"/>
            </a:spcAft>
            <a:buNone/>
          </a:pPr>
          <a:r>
            <a:rPr lang="en-AU" sz="1200" b="1" kern="1200">
              <a:latin typeface="Arial" panose="020B0604020202020204" pitchFamily="34" charset="0"/>
              <a:cs typeface="Arial" panose="020B0604020202020204" pitchFamily="34" charset="0"/>
            </a:rPr>
            <a:t>Focus areas</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Act as a System Steward. </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Develop strategic and program </a:t>
          </a:r>
          <a:br>
            <a:rPr lang="en-AU" sz="1100" kern="1200">
              <a:latin typeface="Arial" panose="020B0604020202020204" pitchFamily="34" charset="0"/>
              <a:cs typeface="Arial" panose="020B0604020202020204" pitchFamily="34" charset="0"/>
            </a:rPr>
          </a:br>
          <a:r>
            <a:rPr lang="en-AU" sz="1100" kern="1200">
              <a:latin typeface="Arial" panose="020B0604020202020204" pitchFamily="34" charset="0"/>
              <a:cs typeface="Arial" panose="020B0604020202020204" pitchFamily="34" charset="0"/>
            </a:rPr>
            <a:t> policy and regulations.</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Lead intergovernmental work.</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Manage Community Housing</a:t>
          </a:r>
          <a:br>
            <a:rPr lang="en-AU" sz="1100" kern="1200">
              <a:latin typeface="Arial" panose="020B0604020202020204" pitchFamily="34" charset="0"/>
              <a:cs typeface="Arial" panose="020B0604020202020204" pitchFamily="34" charset="0"/>
            </a:rPr>
          </a:br>
          <a:r>
            <a:rPr lang="en-AU" sz="1100" kern="1200">
              <a:latin typeface="Arial" panose="020B0604020202020204" pitchFamily="34" charset="0"/>
              <a:cs typeface="Arial" panose="020B0604020202020204" pitchFamily="34" charset="0"/>
            </a:rPr>
            <a:t> Provider system.</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Provide funding for the housing</a:t>
          </a:r>
          <a:br>
            <a:rPr lang="en-AU" sz="1100" kern="1200">
              <a:latin typeface="Arial" panose="020B0604020202020204" pitchFamily="34" charset="0"/>
              <a:cs typeface="Arial" panose="020B0604020202020204" pitchFamily="34" charset="0"/>
            </a:rPr>
          </a:br>
          <a:r>
            <a:rPr lang="en-AU" sz="1100" kern="1200">
              <a:latin typeface="Arial" panose="020B0604020202020204" pitchFamily="34" charset="0"/>
              <a:cs typeface="Arial" panose="020B0604020202020204" pitchFamily="34" charset="0"/>
            </a:rPr>
            <a:t> system.</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Set peformance standards.</a:t>
          </a:r>
        </a:p>
        <a:p>
          <a:pPr marL="57150" lvl="1" indent="-57150" algn="l" defTabSz="488950">
            <a:lnSpc>
              <a:spcPct val="90000"/>
            </a:lnSpc>
            <a:spcBef>
              <a:spcPct val="0"/>
            </a:spcBef>
            <a:spcAft>
              <a:spcPts val="600"/>
            </a:spcAft>
            <a:buChar char="•"/>
          </a:pPr>
          <a:r>
            <a:rPr lang="en-AU" sz="1100" kern="1200">
              <a:latin typeface="Arial" panose="020B0604020202020204" pitchFamily="34" charset="0"/>
              <a:cs typeface="Arial" panose="020B0604020202020204" pitchFamily="34" charset="0"/>
            </a:rPr>
            <a:t> Procuring services.</a:t>
          </a:r>
        </a:p>
        <a:p>
          <a:pPr marL="57150" lvl="1" indent="-57150" algn="l" defTabSz="444500">
            <a:lnSpc>
              <a:spcPct val="90000"/>
            </a:lnSpc>
            <a:spcBef>
              <a:spcPct val="0"/>
            </a:spcBef>
            <a:spcAft>
              <a:spcPct val="15000"/>
            </a:spcAft>
            <a:buChar char="•"/>
          </a:pPr>
          <a:endParaRPr lang="en-AU" sz="1000" kern="1200">
            <a:latin typeface="Arial" panose="020B0604020202020204" pitchFamily="34" charset="0"/>
            <a:cs typeface="Arial" panose="020B0604020202020204" pitchFamily="34" charset="0"/>
          </a:endParaRPr>
        </a:p>
      </dsp:txBody>
      <dsp:txXfrm>
        <a:off x="3584476" y="818001"/>
        <a:ext cx="2282731" cy="235272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DSGTheme">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07f75b0-c496-434a-82f5-39f6c36a0e5a">
      <UserInfo>
        <DisplayName/>
        <AccountId xsi:nil="true"/>
        <AccountType/>
      </UserInfo>
    </SharedWithUsers>
    <MOedited xmlns="68f9c68d-c5e0-4d55-8182-92ace82e9cb5">false</MOedited>
    <ChangesMade xmlns="68f9c68d-c5e0-4d55-8182-92ace82e9cb5">true</ChangesMade>
    <Status xmlns="68f9c68d-c5e0-4d55-8182-92ace82e9cb5">Complete</Status>
    <lcf76f155ced4ddcb4097134ff3c332f xmlns="68f9c68d-c5e0-4d55-8182-92ace82e9cb5">
      <Terms xmlns="http://schemas.microsoft.com/office/infopath/2007/PartnerControls"/>
    </lcf76f155ced4ddcb4097134ff3c332f>
    <TaxCatchAll xmlns="107f75b0-c496-434a-82f5-39f6c36a0e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62FDBA17207046885E4C6E175A474B" ma:contentTypeVersion="17" ma:contentTypeDescription="Create a new document." ma:contentTypeScope="" ma:versionID="c015607a1a643bf8b79116cea0f9b326">
  <xsd:schema xmlns:xsd="http://www.w3.org/2001/XMLSchema" xmlns:xs="http://www.w3.org/2001/XMLSchema" xmlns:p="http://schemas.microsoft.com/office/2006/metadata/properties" xmlns:ns3="b5142a78-8777-4c49-be69-74dc9cd42bdc" xmlns:ns4="1e2bf7d4-99cd-46d8-9654-4211b56042c5" targetNamespace="http://schemas.microsoft.com/office/2006/metadata/properties" ma:root="true" ma:fieldsID="a41501993690dfebc6cb648d65d2a855" ns3:_="" ns4:_="">
    <xsd:import namespace="b5142a78-8777-4c49-be69-74dc9cd42bdc"/>
    <xsd:import namespace="1e2bf7d4-99cd-46d8-9654-4211b56042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SearchProperties" minOccurs="0"/>
                <xsd:element ref="ns4:MediaServiceDateTaken" minOccurs="0"/>
                <xsd:element ref="ns4:MediaServiceAutoTags" minOccurs="0"/>
                <xsd:element ref="ns4:MediaLengthInSeconds"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2a78-8777-4c49-be69-74dc9cd42b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2bf7d4-99cd-46d8-9654-4211b56042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EABBAFA52850B4AB3C31533AE6E308A" ma:contentTypeVersion="21" ma:contentTypeDescription="Create a new document." ma:contentTypeScope="" ma:versionID="22493b7953be999b3e54a89d5df6a997">
  <xsd:schema xmlns:xsd="http://www.w3.org/2001/XMLSchema" xmlns:xs="http://www.w3.org/2001/XMLSchema" xmlns:p="http://schemas.microsoft.com/office/2006/metadata/properties" xmlns:ns2="68f9c68d-c5e0-4d55-8182-92ace82e9cb5" xmlns:ns3="107f75b0-c496-434a-82f5-39f6c36a0e5a" targetNamespace="http://schemas.microsoft.com/office/2006/metadata/properties" ma:root="true" ma:fieldsID="e742e5b91d73a01174386542be279362" ns2:_="" ns3:_="">
    <xsd:import namespace="68f9c68d-c5e0-4d55-8182-92ace82e9cb5"/>
    <xsd:import namespace="107f75b0-c496-434a-82f5-39f6c36a0e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ServiceOCR" minOccurs="0"/>
                <xsd:element ref="ns2:Status" minOccurs="0"/>
                <xsd:element ref="ns2:lcf76f155ced4ddcb4097134ff3c332f" minOccurs="0"/>
                <xsd:element ref="ns3:TaxCatchAll" minOccurs="0"/>
                <xsd:element ref="ns2:MediaServiceObjectDetectorVersions" minOccurs="0"/>
                <xsd:element ref="ns2:MediaServiceSearchProperties" minOccurs="0"/>
                <xsd:element ref="ns2:MOedited" minOccurs="0"/>
                <xsd:element ref="ns2:ChangesMa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9c68d-c5e0-4d55-8182-92ace82e9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Status" ma:index="21" nillable="true" ma:displayName="Status" ma:default="Complete" ma:format="Dropdown" ma:internalName="Status">
      <xsd:simpleType>
        <xsd:restriction base="dms:Choice">
          <xsd:enumeration value="Complete"/>
          <xsd:enumeration value="Draft"/>
          <xsd:enumeration value="Approved"/>
          <xsd:enumeration value="Archived"/>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Oedited" ma:index="27" nillable="true" ma:displayName="MO edited" ma:default="0" ma:format="Dropdown" ma:internalName="MOedited">
      <xsd:simpleType>
        <xsd:restriction base="dms:Boolean"/>
      </xsd:simpleType>
    </xsd:element>
    <xsd:element name="ChangesMade" ma:index="28" nillable="true" ma:displayName="HT edited" ma:default="1" ma:format="Dropdown" ma:internalName="ChangesMad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7f75b0-c496-434a-82f5-39f6c36a0e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1b76263-4227-44a7-aefa-7a48629d1f5c}" ma:internalName="TaxCatchAll" ma:showField="CatchAllData" ma:web="107f75b0-c496-434a-82f5-39f6c36a0e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7932C-EFF5-4606-A039-8D09762E5E91}">
  <ds:schemaRefs>
    <ds:schemaRef ds:uri="http://schemas.microsoft.com/office/2006/metadata/properties"/>
    <ds:schemaRef ds:uri="http://schemas.microsoft.com/office/infopath/2007/PartnerControls"/>
    <ds:schemaRef ds:uri="107f75b0-c496-434a-82f5-39f6c36a0e5a"/>
    <ds:schemaRef ds:uri="68f9c68d-c5e0-4d55-8182-92ace82e9cb5"/>
  </ds:schemaRefs>
</ds:datastoreItem>
</file>

<file path=customXml/itemProps2.xml><?xml version="1.0" encoding="utf-8"?>
<ds:datastoreItem xmlns:ds="http://schemas.openxmlformats.org/officeDocument/2006/customXml" ds:itemID="{0DBE0615-A10A-4B8F-997E-14120D9F27E0}">
  <ds:schemaRefs>
    <ds:schemaRef ds:uri="http://schemas.microsoft.com/sharepoint/v3/contenttype/forms"/>
  </ds:schemaRefs>
</ds:datastoreItem>
</file>

<file path=customXml/itemProps3.xml><?xml version="1.0" encoding="utf-8"?>
<ds:datastoreItem xmlns:ds="http://schemas.openxmlformats.org/officeDocument/2006/customXml" ds:itemID="{265BA6F7-AB95-46C4-AF2D-8F6399E14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2a78-8777-4c49-be69-74dc9cd42bdc"/>
    <ds:schemaRef ds:uri="1e2bf7d4-99cd-46d8-9654-4211b5604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231EF3-FDE0-4C69-A732-C4E1F082FDB8}">
  <ds:schemaRefs>
    <ds:schemaRef ds:uri="http://schemas.openxmlformats.org/officeDocument/2006/bibliography"/>
  </ds:schemaRefs>
</ds:datastoreItem>
</file>

<file path=customXml/itemProps5.xml><?xml version="1.0" encoding="utf-8"?>
<ds:datastoreItem xmlns:ds="http://schemas.openxmlformats.org/officeDocument/2006/customXml" ds:itemID="{C4DE1D35-D4DD-4D7A-B20E-85BB38DE2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f9c68d-c5e0-4d55-8182-92ace82e9cb5"/>
    <ds:schemaRef ds:uri="107f75b0-c496-434a-82f5-39f6c36a0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A4-Report-template-blue-cover</Template>
  <TotalTime>9</TotalTime>
  <Pages>17</Pages>
  <Words>3745</Words>
  <Characters>20901</Characters>
  <Application>Microsoft Office Word</Application>
  <DocSecurity>0</DocSecurity>
  <Lines>394</Lines>
  <Paragraphs>176</Paragraphs>
  <ScaleCrop>false</ScaleCrop>
  <HeadingPairs>
    <vt:vector size="2" baseType="variant">
      <vt:variant>
        <vt:lpstr>Title</vt:lpstr>
      </vt:variant>
      <vt:variant>
        <vt:i4>1</vt:i4>
      </vt:variant>
    </vt:vector>
  </HeadingPairs>
  <TitlesOfParts>
    <vt:vector size="1" baseType="lpstr">
      <vt:lpstr/>
    </vt:vector>
  </TitlesOfParts>
  <Company>DEDTA</Company>
  <LinksUpToDate>false</LinksUpToDate>
  <CharactersWithSpaces>24470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Saunders, Ashton</dc:creator>
  <cp:keywords/>
  <dc:description/>
  <cp:lastModifiedBy>de Beer, Rudi</cp:lastModifiedBy>
  <cp:revision>3</cp:revision>
  <cp:lastPrinted>2025-05-27T01:06:00Z</cp:lastPrinted>
  <dcterms:created xsi:type="dcterms:W3CDTF">2025-06-02T07:40:00Z</dcterms:created>
  <dcterms:modified xsi:type="dcterms:W3CDTF">2025-06-02T23:17:00Z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0x010100DEABBAFA52850B4AB3C31533AE6E308A</vt:lpwstr>
  </property>
  <property fmtid="{D5CDD505-2E9C-101B-9397-08002B2CF9AE}" pid="3" name="Order">
    <vt:r8>200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SharedWithUsers">
    <vt:lpwstr/>
  </property>
  <property fmtid="{D5CDD505-2E9C-101B-9397-08002B2CF9AE}" pid="8" name="MediaServiceImageTags">
    <vt:lpwstr/>
  </property>
</Properties>
</file>