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77820" w14:textId="49909359" w:rsidR="007D7A77" w:rsidRPr="00295B9E" w:rsidRDefault="007D7A77" w:rsidP="00015F31">
      <w:pPr>
        <w:pStyle w:val="Sectorbody"/>
        <w:spacing w:after="120" w:line="240" w:lineRule="auto"/>
        <w:ind w:left="-709" w:right="119"/>
      </w:pPr>
      <w:r w:rsidRPr="00295B9E">
        <w:rPr>
          <w:rFonts w:cs="GillSans Light"/>
          <w:color w:val="000000"/>
        </w:rPr>
        <w:t xml:space="preserve">The trade and investment sectors contained in </w:t>
      </w:r>
      <w:r w:rsidR="00015F31">
        <w:rPr>
          <w:rFonts w:cs="GillSans Light"/>
          <w:color w:val="000000"/>
        </w:rPr>
        <w:t>the</w:t>
      </w:r>
      <w:r w:rsidR="008E4FEE">
        <w:rPr>
          <w:rFonts w:cs="GillSans Light"/>
          <w:color w:val="000000"/>
        </w:rPr>
        <w:t xml:space="preserve"> sector summar</w:t>
      </w:r>
      <w:r w:rsidR="00015F31">
        <w:rPr>
          <w:rFonts w:cs="GillSans Light"/>
          <w:color w:val="000000"/>
        </w:rPr>
        <w:t>y series</w:t>
      </w:r>
      <w:r w:rsidRPr="00295B9E">
        <w:rPr>
          <w:rFonts w:cs="GillSans Light"/>
          <w:color w:val="000000"/>
        </w:rPr>
        <w:t xml:space="preserve"> have been compiled from Australian and New Zealand Standard Industry Classification (ANZSIC) classes using a value</w:t>
      </w:r>
      <w:r w:rsidR="008E4FEE">
        <w:rPr>
          <w:rFonts w:cs="GillSans Light"/>
          <w:color w:val="000000"/>
        </w:rPr>
        <w:t>-</w:t>
      </w:r>
      <w:r w:rsidRPr="00295B9E">
        <w:rPr>
          <w:rFonts w:cs="GillSans Light"/>
          <w:color w:val="000000"/>
        </w:rPr>
        <w:t xml:space="preserve">chain approach. This means that industry classes from ANZSIC have been grouped together to provide estimates of the size of the </w:t>
      </w:r>
      <w:r w:rsidR="008E4FEE">
        <w:rPr>
          <w:rFonts w:cs="GillSans Light"/>
          <w:color w:val="000000"/>
        </w:rPr>
        <w:t>particular</w:t>
      </w:r>
      <w:r w:rsidR="008E4FEE" w:rsidRPr="00295B9E">
        <w:rPr>
          <w:rFonts w:cs="GillSans Light"/>
          <w:color w:val="000000"/>
        </w:rPr>
        <w:t xml:space="preserve"> </w:t>
      </w:r>
      <w:r w:rsidRPr="00295B9E">
        <w:rPr>
          <w:rFonts w:cs="GillSans Light"/>
          <w:color w:val="000000"/>
        </w:rPr>
        <w:t>trade and investment sectors</w:t>
      </w:r>
      <w:r w:rsidRPr="00295B9E">
        <w:t xml:space="preserve">. </w:t>
      </w:r>
    </w:p>
    <w:p w14:paraId="62A2C706" w14:textId="77777777" w:rsidR="00D60D44" w:rsidRDefault="00D60D44" w:rsidP="007D7A77">
      <w:pPr>
        <w:pStyle w:val="Sectorbody"/>
        <w:ind w:left="-709" w:right="120"/>
      </w:pPr>
      <w:r w:rsidRPr="00D60D44">
        <w:rPr>
          <w:b/>
        </w:rPr>
        <w:t>Coverage:</w:t>
      </w:r>
      <w:r w:rsidRPr="00D60D44">
        <w:t xml:space="preserve"> all building and construction activity including residential building, non-residential building and engineering construction.</w:t>
      </w:r>
    </w:p>
    <w:tbl>
      <w:tblPr>
        <w:tblW w:w="10348" w:type="dxa"/>
        <w:tblInd w:w="-601" w:type="dxa"/>
        <w:tblLayout w:type="fixed"/>
        <w:tblLook w:val="04A0" w:firstRow="1" w:lastRow="0" w:firstColumn="1" w:lastColumn="0" w:noHBand="0" w:noVBand="1"/>
      </w:tblPr>
      <w:tblGrid>
        <w:gridCol w:w="2977"/>
        <w:gridCol w:w="142"/>
        <w:gridCol w:w="142"/>
        <w:gridCol w:w="850"/>
        <w:gridCol w:w="993"/>
        <w:gridCol w:w="1025"/>
        <w:gridCol w:w="676"/>
        <w:gridCol w:w="284"/>
        <w:gridCol w:w="566"/>
        <w:gridCol w:w="1276"/>
        <w:gridCol w:w="1417"/>
      </w:tblGrid>
      <w:tr w:rsidR="00A45147" w:rsidRPr="00C34B37" w14:paraId="5A4BB2BA" w14:textId="77777777" w:rsidTr="00A45147">
        <w:tc>
          <w:tcPr>
            <w:tcW w:w="6805" w:type="dxa"/>
            <w:gridSpan w:val="7"/>
            <w:shd w:val="clear" w:color="auto" w:fill="D99594" w:themeFill="accent2" w:themeFillTint="99"/>
          </w:tcPr>
          <w:p w14:paraId="6E1D77A9" w14:textId="77777777" w:rsidR="00A45147" w:rsidRPr="00C34B37" w:rsidRDefault="00A45147" w:rsidP="007D7A77">
            <w:pPr>
              <w:spacing w:after="0" w:line="240" w:lineRule="auto"/>
              <w:rPr>
                <w:rFonts w:ascii="Gill Sans MT" w:hAnsi="Gill Sans MT"/>
                <w:b/>
              </w:rPr>
            </w:pPr>
            <w:r w:rsidRPr="00C34B37">
              <w:rPr>
                <w:rFonts w:ascii="Gill Sans MT" w:hAnsi="Gill Sans MT"/>
                <w:b/>
              </w:rPr>
              <w:t>Key indicators</w:t>
            </w:r>
          </w:p>
        </w:tc>
        <w:tc>
          <w:tcPr>
            <w:tcW w:w="284" w:type="dxa"/>
            <w:shd w:val="clear" w:color="auto" w:fill="FFFFFF"/>
          </w:tcPr>
          <w:p w14:paraId="7B8489F3" w14:textId="77777777" w:rsidR="00A45147" w:rsidRPr="00C34B37" w:rsidRDefault="00A45147" w:rsidP="007D7A77">
            <w:pPr>
              <w:spacing w:after="0" w:line="240" w:lineRule="auto"/>
              <w:rPr>
                <w:rFonts w:ascii="Gill Sans MT" w:hAnsi="Gill Sans MT"/>
                <w:b/>
              </w:rPr>
            </w:pPr>
          </w:p>
        </w:tc>
        <w:tc>
          <w:tcPr>
            <w:tcW w:w="3259" w:type="dxa"/>
            <w:gridSpan w:val="3"/>
            <w:shd w:val="clear" w:color="auto" w:fill="D99594" w:themeFill="accent2" w:themeFillTint="99"/>
          </w:tcPr>
          <w:p w14:paraId="26AD1D59" w14:textId="67597273" w:rsidR="00A45147" w:rsidRPr="00C34B37" w:rsidRDefault="007D7A77" w:rsidP="007D7A77">
            <w:pPr>
              <w:spacing w:after="0" w:line="240" w:lineRule="auto"/>
              <w:rPr>
                <w:rFonts w:ascii="Gill Sans MT" w:hAnsi="Gill Sans MT"/>
                <w:b/>
              </w:rPr>
            </w:pPr>
            <w:r>
              <w:rPr>
                <w:rFonts w:ascii="Gill Sans MT" w:hAnsi="Gill Sans MT"/>
                <w:b/>
              </w:rPr>
              <w:t>Regional e</w:t>
            </w:r>
            <w:r w:rsidR="00A45147" w:rsidRPr="00C34B37">
              <w:rPr>
                <w:rFonts w:ascii="Gill Sans MT" w:hAnsi="Gill Sans MT"/>
                <w:b/>
              </w:rPr>
              <w:t>mployment</w:t>
            </w:r>
          </w:p>
        </w:tc>
      </w:tr>
      <w:tr w:rsidR="00A45147" w:rsidRPr="00C34B37" w14:paraId="470038C9" w14:textId="77777777" w:rsidTr="00A45147">
        <w:trPr>
          <w:trHeight w:val="3155"/>
        </w:trPr>
        <w:tc>
          <w:tcPr>
            <w:tcW w:w="6805" w:type="dxa"/>
            <w:gridSpan w:val="7"/>
          </w:tcPr>
          <w:p w14:paraId="251469C8" w14:textId="78E12EA4" w:rsidR="00A45147" w:rsidRPr="00C34B37" w:rsidRDefault="00A45147" w:rsidP="007D7A77">
            <w:pPr>
              <w:spacing w:after="0" w:line="240" w:lineRule="auto"/>
              <w:rPr>
                <w:rFonts w:ascii="Gill Sans MT" w:hAnsi="Gill Sans MT"/>
              </w:rPr>
            </w:pPr>
            <w:r>
              <w:rPr>
                <w:noProof/>
                <w:lang w:eastAsia="en-AU"/>
              </w:rPr>
              <w:drawing>
                <wp:inline distT="0" distB="0" distL="0" distR="0" wp14:anchorId="71C7401B" wp14:editId="36582394">
                  <wp:extent cx="4333875" cy="24574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284" w:type="dxa"/>
            <w:shd w:val="clear" w:color="auto" w:fill="FFFFFF"/>
          </w:tcPr>
          <w:p w14:paraId="1B2AD9D4" w14:textId="77777777" w:rsidR="00A45147" w:rsidRPr="000C5351" w:rsidRDefault="00A45147" w:rsidP="007D7A77">
            <w:pPr>
              <w:spacing w:after="0" w:line="240" w:lineRule="auto"/>
              <w:rPr>
                <w:rFonts w:ascii="Gill Sans MT" w:hAnsi="Gill Sans MT"/>
                <w:sz w:val="8"/>
              </w:rPr>
            </w:pPr>
          </w:p>
        </w:tc>
        <w:tc>
          <w:tcPr>
            <w:tcW w:w="3259" w:type="dxa"/>
            <w:gridSpan w:val="3"/>
            <w:vMerge w:val="restart"/>
            <w:shd w:val="clear" w:color="auto" w:fill="auto"/>
          </w:tcPr>
          <w:p w14:paraId="55F34805" w14:textId="0CC92845" w:rsidR="00A45147" w:rsidRPr="00C34B37" w:rsidRDefault="00A45147" w:rsidP="007D7A77">
            <w:pPr>
              <w:spacing w:after="0" w:line="240" w:lineRule="auto"/>
              <w:rPr>
                <w:rFonts w:ascii="Gill Sans MT" w:hAnsi="Gill Sans MT"/>
              </w:rPr>
            </w:pPr>
          </w:p>
          <w:p w14:paraId="711ED5E2" w14:textId="1C1A8CC6" w:rsidR="00A45147" w:rsidRPr="00C34B37" w:rsidRDefault="00A45147" w:rsidP="007D7A77">
            <w:pPr>
              <w:spacing w:after="0" w:line="240" w:lineRule="auto"/>
              <w:ind w:left="-251"/>
              <w:rPr>
                <w:rFonts w:ascii="Gill Sans MT" w:hAnsi="Gill Sans MT"/>
              </w:rPr>
            </w:pPr>
            <w:r>
              <w:rPr>
                <w:noProof/>
                <w:lang w:eastAsia="en-AU"/>
              </w:rPr>
              <w:drawing>
                <wp:inline distT="0" distB="0" distL="0" distR="0" wp14:anchorId="41975A20" wp14:editId="0C7890D8">
                  <wp:extent cx="2257425" cy="204787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A45147" w:rsidRPr="00C34B37" w14:paraId="6A66AAC1" w14:textId="77777777" w:rsidTr="00A45147">
        <w:trPr>
          <w:trHeight w:val="87"/>
        </w:trPr>
        <w:tc>
          <w:tcPr>
            <w:tcW w:w="2977" w:type="dxa"/>
          </w:tcPr>
          <w:p w14:paraId="785C1CE3" w14:textId="77777777" w:rsidR="00A45147" w:rsidRPr="00915737" w:rsidRDefault="00A45147" w:rsidP="007D7A77">
            <w:pPr>
              <w:spacing w:after="0" w:line="240" w:lineRule="auto"/>
              <w:rPr>
                <w:rFonts w:ascii="Gill Sans MT" w:hAnsi="Gill Sans MT"/>
                <w:sz w:val="4"/>
                <w:szCs w:val="12"/>
              </w:rPr>
            </w:pPr>
          </w:p>
        </w:tc>
        <w:tc>
          <w:tcPr>
            <w:tcW w:w="284" w:type="dxa"/>
            <w:gridSpan w:val="2"/>
            <w:shd w:val="clear" w:color="auto" w:fill="FFFFFF"/>
          </w:tcPr>
          <w:p w14:paraId="00CD1FAA" w14:textId="77777777" w:rsidR="00A45147" w:rsidRPr="00C34B37" w:rsidRDefault="00A45147" w:rsidP="007D7A77">
            <w:pPr>
              <w:spacing w:after="0" w:line="240" w:lineRule="auto"/>
              <w:rPr>
                <w:rFonts w:ascii="Gill Sans MT" w:hAnsi="Gill Sans MT"/>
                <w:sz w:val="12"/>
                <w:szCs w:val="12"/>
              </w:rPr>
            </w:pPr>
          </w:p>
        </w:tc>
        <w:tc>
          <w:tcPr>
            <w:tcW w:w="3544" w:type="dxa"/>
            <w:gridSpan w:val="4"/>
          </w:tcPr>
          <w:p w14:paraId="58445F26" w14:textId="77777777" w:rsidR="00A45147" w:rsidRPr="00C34B37" w:rsidRDefault="00A45147" w:rsidP="007D7A77">
            <w:pPr>
              <w:spacing w:after="0" w:line="240" w:lineRule="auto"/>
              <w:rPr>
                <w:rFonts w:ascii="Gill Sans MT" w:hAnsi="Gill Sans MT"/>
                <w:sz w:val="12"/>
                <w:szCs w:val="12"/>
              </w:rPr>
            </w:pPr>
          </w:p>
        </w:tc>
        <w:tc>
          <w:tcPr>
            <w:tcW w:w="284" w:type="dxa"/>
            <w:shd w:val="clear" w:color="auto" w:fill="FFFFFF"/>
          </w:tcPr>
          <w:p w14:paraId="52031CF5" w14:textId="77777777" w:rsidR="00A45147" w:rsidRPr="00C34B37" w:rsidRDefault="00A45147" w:rsidP="007D7A77">
            <w:pPr>
              <w:spacing w:after="0" w:line="240" w:lineRule="auto"/>
              <w:rPr>
                <w:rFonts w:ascii="Gill Sans MT" w:hAnsi="Gill Sans MT"/>
                <w:sz w:val="12"/>
                <w:szCs w:val="12"/>
              </w:rPr>
            </w:pPr>
          </w:p>
        </w:tc>
        <w:tc>
          <w:tcPr>
            <w:tcW w:w="3259" w:type="dxa"/>
            <w:gridSpan w:val="3"/>
            <w:vMerge/>
            <w:shd w:val="clear" w:color="auto" w:fill="auto"/>
          </w:tcPr>
          <w:p w14:paraId="5C7AB460" w14:textId="77777777" w:rsidR="00A45147" w:rsidRPr="00C34B37" w:rsidRDefault="00A45147" w:rsidP="007D7A77">
            <w:pPr>
              <w:spacing w:after="0" w:line="240" w:lineRule="auto"/>
              <w:rPr>
                <w:rFonts w:ascii="Gill Sans MT" w:hAnsi="Gill Sans MT"/>
                <w:sz w:val="12"/>
                <w:szCs w:val="12"/>
              </w:rPr>
            </w:pPr>
          </w:p>
        </w:tc>
      </w:tr>
      <w:tr w:rsidR="00A45147" w:rsidRPr="00C34B37" w14:paraId="05C1496E" w14:textId="77777777" w:rsidTr="00127D71">
        <w:trPr>
          <w:trHeight w:val="126"/>
        </w:trPr>
        <w:tc>
          <w:tcPr>
            <w:tcW w:w="2977" w:type="dxa"/>
          </w:tcPr>
          <w:p w14:paraId="6E8F5042" w14:textId="77777777" w:rsidR="00A45147" w:rsidRPr="00915737" w:rsidRDefault="00A45147" w:rsidP="007D7A77">
            <w:pPr>
              <w:spacing w:after="0" w:line="240" w:lineRule="auto"/>
              <w:rPr>
                <w:rFonts w:ascii="Gill Sans MT" w:hAnsi="Gill Sans MT"/>
                <w:sz w:val="4"/>
                <w:szCs w:val="12"/>
              </w:rPr>
            </w:pPr>
          </w:p>
        </w:tc>
        <w:tc>
          <w:tcPr>
            <w:tcW w:w="284" w:type="dxa"/>
            <w:gridSpan w:val="2"/>
            <w:shd w:val="clear" w:color="auto" w:fill="FFFFFF"/>
          </w:tcPr>
          <w:p w14:paraId="0B06DAA2" w14:textId="77777777" w:rsidR="00A45147" w:rsidRPr="00C34B37" w:rsidRDefault="00A45147" w:rsidP="007D7A77">
            <w:pPr>
              <w:spacing w:after="0" w:line="240" w:lineRule="auto"/>
              <w:rPr>
                <w:rFonts w:ascii="Gill Sans MT" w:hAnsi="Gill Sans MT"/>
                <w:sz w:val="12"/>
                <w:szCs w:val="12"/>
              </w:rPr>
            </w:pPr>
          </w:p>
        </w:tc>
        <w:tc>
          <w:tcPr>
            <w:tcW w:w="3544" w:type="dxa"/>
            <w:gridSpan w:val="4"/>
          </w:tcPr>
          <w:p w14:paraId="20FE267C" w14:textId="77777777" w:rsidR="00A45147" w:rsidRPr="00C34B37" w:rsidRDefault="00A45147" w:rsidP="007D7A77">
            <w:pPr>
              <w:spacing w:after="0" w:line="240" w:lineRule="auto"/>
              <w:rPr>
                <w:rFonts w:ascii="Gill Sans MT" w:hAnsi="Gill Sans MT"/>
                <w:sz w:val="12"/>
                <w:szCs w:val="12"/>
              </w:rPr>
            </w:pPr>
          </w:p>
        </w:tc>
        <w:tc>
          <w:tcPr>
            <w:tcW w:w="284" w:type="dxa"/>
            <w:shd w:val="clear" w:color="auto" w:fill="FFFFFF"/>
          </w:tcPr>
          <w:p w14:paraId="51172E46" w14:textId="77777777" w:rsidR="00A45147" w:rsidRPr="00C34B37" w:rsidRDefault="00A45147" w:rsidP="007D7A77">
            <w:pPr>
              <w:spacing w:after="0" w:line="240" w:lineRule="auto"/>
              <w:rPr>
                <w:rFonts w:ascii="Gill Sans MT" w:hAnsi="Gill Sans MT"/>
                <w:sz w:val="12"/>
                <w:szCs w:val="12"/>
              </w:rPr>
            </w:pPr>
          </w:p>
        </w:tc>
        <w:tc>
          <w:tcPr>
            <w:tcW w:w="3259" w:type="dxa"/>
            <w:gridSpan w:val="3"/>
            <w:vMerge/>
            <w:shd w:val="clear" w:color="auto" w:fill="auto"/>
          </w:tcPr>
          <w:p w14:paraId="01571B5C" w14:textId="77777777" w:rsidR="00A45147" w:rsidRPr="00C34B37" w:rsidRDefault="00A45147" w:rsidP="007D7A77">
            <w:pPr>
              <w:spacing w:after="0" w:line="240" w:lineRule="auto"/>
              <w:rPr>
                <w:rFonts w:ascii="Gill Sans MT" w:hAnsi="Gill Sans MT"/>
                <w:sz w:val="12"/>
                <w:szCs w:val="12"/>
              </w:rPr>
            </w:pPr>
          </w:p>
        </w:tc>
      </w:tr>
      <w:tr w:rsidR="00A45147" w:rsidRPr="00C34B37" w14:paraId="18B3C6D7" w14:textId="77777777" w:rsidTr="00A45147">
        <w:trPr>
          <w:trHeight w:val="283"/>
        </w:trPr>
        <w:tc>
          <w:tcPr>
            <w:tcW w:w="10348" w:type="dxa"/>
            <w:gridSpan w:val="11"/>
            <w:shd w:val="clear" w:color="auto" w:fill="D99594" w:themeFill="accent2" w:themeFillTint="99"/>
          </w:tcPr>
          <w:p w14:paraId="627AB662" w14:textId="77777777" w:rsidR="00A45147" w:rsidRPr="00C34B37" w:rsidRDefault="00A45147" w:rsidP="007D7A77">
            <w:pPr>
              <w:spacing w:after="0" w:line="240" w:lineRule="auto"/>
              <w:rPr>
                <w:rFonts w:ascii="Gill Sans MT" w:hAnsi="Gill Sans MT"/>
                <w:b/>
              </w:rPr>
            </w:pPr>
            <w:r w:rsidRPr="00C34B37">
              <w:rPr>
                <w:rFonts w:ascii="Gill Sans MT" w:hAnsi="Gill Sans MT"/>
                <w:b/>
              </w:rPr>
              <w:t>Key statistics at a glance</w:t>
            </w:r>
          </w:p>
        </w:tc>
      </w:tr>
      <w:tr w:rsidR="00A45147" w:rsidRPr="00C34B37" w14:paraId="609ADC97" w14:textId="77777777" w:rsidTr="00A45147">
        <w:trPr>
          <w:trHeight w:val="87"/>
        </w:trPr>
        <w:tc>
          <w:tcPr>
            <w:tcW w:w="10348" w:type="dxa"/>
            <w:gridSpan w:val="11"/>
            <w:shd w:val="clear" w:color="auto" w:fill="auto"/>
          </w:tcPr>
          <w:p w14:paraId="1053240E" w14:textId="77777777" w:rsidR="00A45147" w:rsidRPr="00A45147" w:rsidRDefault="00A45147" w:rsidP="007D7A77">
            <w:pPr>
              <w:spacing w:after="0" w:line="240" w:lineRule="auto"/>
              <w:rPr>
                <w:rFonts w:ascii="Gill Sans MT" w:hAnsi="Gill Sans MT"/>
                <w:b/>
                <w:sz w:val="8"/>
              </w:rPr>
            </w:pPr>
          </w:p>
        </w:tc>
      </w:tr>
      <w:tr w:rsidR="00A45147" w:rsidRPr="00A45147" w14:paraId="221C6776" w14:textId="77777777" w:rsidTr="00A45147">
        <w:trPr>
          <w:trHeight w:val="630"/>
        </w:trPr>
        <w:tc>
          <w:tcPr>
            <w:tcW w:w="3119" w:type="dxa"/>
            <w:gridSpan w:val="2"/>
            <w:tcBorders>
              <w:top w:val="nil"/>
              <w:left w:val="nil"/>
              <w:bottom w:val="single" w:sz="12" w:space="0" w:color="FFFFFF"/>
              <w:right w:val="single" w:sz="4" w:space="0" w:color="FFFFFF"/>
            </w:tcBorders>
            <w:shd w:val="clear" w:color="auto" w:fill="F2DBDB" w:themeFill="accent2" w:themeFillTint="33"/>
            <w:hideMark/>
          </w:tcPr>
          <w:p w14:paraId="681087DD" w14:textId="77777777" w:rsidR="00A45147" w:rsidRPr="00A45147" w:rsidRDefault="00A45147" w:rsidP="007D7A77">
            <w:pPr>
              <w:spacing w:after="0" w:line="240" w:lineRule="auto"/>
              <w:rPr>
                <w:rFonts w:ascii="Tahoma" w:eastAsia="Times New Roman" w:hAnsi="Tahoma" w:cs="Tahoma"/>
                <w:b/>
                <w:bCs/>
                <w:sz w:val="16"/>
                <w:szCs w:val="16"/>
                <w:lang w:eastAsia="en-AU"/>
              </w:rPr>
            </w:pPr>
            <w:r w:rsidRPr="00A45147">
              <w:rPr>
                <w:rFonts w:ascii="Tahoma" w:eastAsia="Times New Roman" w:hAnsi="Tahoma" w:cs="Tahoma"/>
                <w:b/>
                <w:bCs/>
                <w:sz w:val="16"/>
                <w:szCs w:val="16"/>
                <w:lang w:eastAsia="en-AU"/>
              </w:rPr>
              <w:t>Indicator</w:t>
            </w:r>
          </w:p>
        </w:tc>
        <w:tc>
          <w:tcPr>
            <w:tcW w:w="992" w:type="dxa"/>
            <w:gridSpan w:val="2"/>
            <w:tcBorders>
              <w:top w:val="nil"/>
              <w:left w:val="single" w:sz="4" w:space="0" w:color="FFFFFF"/>
              <w:bottom w:val="single" w:sz="12" w:space="0" w:color="FFFFFF"/>
              <w:right w:val="single" w:sz="4" w:space="0" w:color="FFFFFF"/>
            </w:tcBorders>
            <w:shd w:val="clear" w:color="auto" w:fill="F2DBDB" w:themeFill="accent2" w:themeFillTint="33"/>
            <w:hideMark/>
          </w:tcPr>
          <w:p w14:paraId="5D392A76" w14:textId="77777777" w:rsidR="00A45147" w:rsidRPr="00A45147" w:rsidRDefault="00A45147" w:rsidP="007D7A77">
            <w:pPr>
              <w:spacing w:after="0" w:line="240" w:lineRule="auto"/>
              <w:rPr>
                <w:rFonts w:ascii="Tahoma" w:eastAsia="Times New Roman" w:hAnsi="Tahoma" w:cs="Tahoma"/>
                <w:b/>
                <w:bCs/>
                <w:sz w:val="16"/>
                <w:szCs w:val="16"/>
                <w:lang w:eastAsia="en-AU"/>
              </w:rPr>
            </w:pPr>
            <w:r w:rsidRPr="00A45147">
              <w:rPr>
                <w:rFonts w:ascii="Tahoma" w:eastAsia="Times New Roman" w:hAnsi="Tahoma" w:cs="Tahoma"/>
                <w:b/>
                <w:bCs/>
                <w:sz w:val="16"/>
                <w:szCs w:val="16"/>
                <w:lang w:eastAsia="en-AU"/>
              </w:rPr>
              <w:t>Units</w:t>
            </w:r>
          </w:p>
        </w:tc>
        <w:tc>
          <w:tcPr>
            <w:tcW w:w="993" w:type="dxa"/>
            <w:tcBorders>
              <w:top w:val="nil"/>
              <w:left w:val="single" w:sz="4" w:space="0" w:color="FFFFFF"/>
              <w:bottom w:val="single" w:sz="12" w:space="0" w:color="FFFFFF"/>
              <w:right w:val="single" w:sz="4" w:space="0" w:color="FFFFFF"/>
            </w:tcBorders>
            <w:shd w:val="clear" w:color="auto" w:fill="F2DBDB" w:themeFill="accent2" w:themeFillTint="33"/>
            <w:hideMark/>
          </w:tcPr>
          <w:p w14:paraId="751ED066" w14:textId="77777777" w:rsidR="00A45147" w:rsidRPr="00A45147" w:rsidRDefault="00A45147" w:rsidP="007D7A77">
            <w:pPr>
              <w:spacing w:after="0" w:line="240" w:lineRule="auto"/>
              <w:rPr>
                <w:rFonts w:ascii="Tahoma" w:eastAsia="Times New Roman" w:hAnsi="Tahoma" w:cs="Tahoma"/>
                <w:b/>
                <w:bCs/>
                <w:sz w:val="16"/>
                <w:szCs w:val="16"/>
                <w:lang w:eastAsia="en-AU"/>
              </w:rPr>
            </w:pPr>
            <w:r w:rsidRPr="00A45147">
              <w:rPr>
                <w:rFonts w:ascii="Tahoma" w:eastAsia="Times New Roman" w:hAnsi="Tahoma" w:cs="Tahoma"/>
                <w:b/>
                <w:bCs/>
                <w:sz w:val="16"/>
                <w:szCs w:val="16"/>
                <w:lang w:eastAsia="en-AU"/>
              </w:rPr>
              <w:t>Period</w:t>
            </w:r>
          </w:p>
        </w:tc>
        <w:tc>
          <w:tcPr>
            <w:tcW w:w="1025" w:type="dxa"/>
            <w:tcBorders>
              <w:top w:val="nil"/>
              <w:left w:val="single" w:sz="4" w:space="0" w:color="FFFFFF"/>
              <w:bottom w:val="single" w:sz="12" w:space="0" w:color="FFFFFF"/>
              <w:right w:val="single" w:sz="4" w:space="0" w:color="FFFFFF"/>
            </w:tcBorders>
            <w:shd w:val="clear" w:color="auto" w:fill="F2DBDB" w:themeFill="accent2" w:themeFillTint="33"/>
            <w:hideMark/>
          </w:tcPr>
          <w:p w14:paraId="3A2DC999" w14:textId="77777777" w:rsidR="00A45147" w:rsidRPr="00A45147" w:rsidRDefault="00A45147" w:rsidP="007D7A77">
            <w:pPr>
              <w:spacing w:after="0" w:line="240" w:lineRule="auto"/>
              <w:rPr>
                <w:rFonts w:ascii="Tahoma" w:eastAsia="Times New Roman" w:hAnsi="Tahoma" w:cs="Tahoma"/>
                <w:b/>
                <w:bCs/>
                <w:sz w:val="16"/>
                <w:szCs w:val="16"/>
                <w:lang w:eastAsia="en-AU"/>
              </w:rPr>
            </w:pPr>
            <w:r w:rsidRPr="00A45147">
              <w:rPr>
                <w:rFonts w:ascii="Tahoma" w:eastAsia="Times New Roman" w:hAnsi="Tahoma" w:cs="Tahoma"/>
                <w:b/>
                <w:bCs/>
                <w:sz w:val="16"/>
                <w:szCs w:val="16"/>
                <w:lang w:eastAsia="en-AU"/>
              </w:rPr>
              <w:t>Data</w:t>
            </w:r>
          </w:p>
        </w:tc>
        <w:tc>
          <w:tcPr>
            <w:tcW w:w="1526" w:type="dxa"/>
            <w:gridSpan w:val="3"/>
            <w:tcBorders>
              <w:top w:val="nil"/>
              <w:left w:val="single" w:sz="4" w:space="0" w:color="FFFFFF"/>
              <w:bottom w:val="single" w:sz="12" w:space="0" w:color="FFFFFF"/>
              <w:right w:val="single" w:sz="4" w:space="0" w:color="FFFFFF"/>
            </w:tcBorders>
            <w:shd w:val="clear" w:color="auto" w:fill="F2DBDB" w:themeFill="accent2" w:themeFillTint="33"/>
            <w:hideMark/>
          </w:tcPr>
          <w:p w14:paraId="099BC5AE" w14:textId="71CB918B" w:rsidR="00A45147" w:rsidRPr="00A45147" w:rsidRDefault="007D7A77" w:rsidP="007D7A77">
            <w:pPr>
              <w:spacing w:after="0" w:line="240" w:lineRule="auto"/>
              <w:rPr>
                <w:rFonts w:ascii="Tahoma" w:eastAsia="Times New Roman" w:hAnsi="Tahoma" w:cs="Tahoma"/>
                <w:b/>
                <w:bCs/>
                <w:sz w:val="16"/>
                <w:szCs w:val="16"/>
                <w:lang w:eastAsia="en-AU"/>
              </w:rPr>
            </w:pPr>
            <w:r>
              <w:rPr>
                <w:rFonts w:ascii="Tahoma" w:eastAsia="Times New Roman" w:hAnsi="Tahoma" w:cs="Tahoma"/>
                <w:b/>
                <w:bCs/>
                <w:sz w:val="16"/>
                <w:szCs w:val="16"/>
                <w:lang w:eastAsia="en-AU"/>
              </w:rPr>
              <w:t>Change f</w:t>
            </w:r>
            <w:r w:rsidR="00A45147" w:rsidRPr="00A45147">
              <w:rPr>
                <w:rFonts w:ascii="Tahoma" w:eastAsia="Times New Roman" w:hAnsi="Tahoma" w:cs="Tahoma"/>
                <w:b/>
                <w:bCs/>
                <w:sz w:val="16"/>
                <w:szCs w:val="16"/>
                <w:lang w:eastAsia="en-AU"/>
              </w:rPr>
              <w:t xml:space="preserve">rom </w:t>
            </w:r>
            <w:r>
              <w:rPr>
                <w:rFonts w:ascii="Tahoma" w:eastAsia="Times New Roman" w:hAnsi="Tahoma" w:cs="Tahoma"/>
                <w:b/>
                <w:bCs/>
                <w:sz w:val="16"/>
                <w:szCs w:val="16"/>
                <w:lang w:eastAsia="en-AU"/>
              </w:rPr>
              <w:br/>
              <w:t>five years a</w:t>
            </w:r>
            <w:r w:rsidR="00A45147" w:rsidRPr="00A45147">
              <w:rPr>
                <w:rFonts w:ascii="Tahoma" w:eastAsia="Times New Roman" w:hAnsi="Tahoma" w:cs="Tahoma"/>
                <w:b/>
                <w:bCs/>
                <w:sz w:val="16"/>
                <w:szCs w:val="16"/>
                <w:lang w:eastAsia="en-AU"/>
              </w:rPr>
              <w:t>go</w:t>
            </w:r>
          </w:p>
        </w:tc>
        <w:tc>
          <w:tcPr>
            <w:tcW w:w="1276" w:type="dxa"/>
            <w:tcBorders>
              <w:top w:val="nil"/>
              <w:left w:val="single" w:sz="4" w:space="0" w:color="FFFFFF"/>
              <w:bottom w:val="single" w:sz="12" w:space="0" w:color="FFFFFF"/>
              <w:right w:val="single" w:sz="4" w:space="0" w:color="FFFFFF"/>
            </w:tcBorders>
            <w:shd w:val="clear" w:color="auto" w:fill="F2DBDB" w:themeFill="accent2" w:themeFillTint="33"/>
            <w:hideMark/>
          </w:tcPr>
          <w:p w14:paraId="37FB688C" w14:textId="299B82AD" w:rsidR="00A45147" w:rsidRPr="00A45147" w:rsidRDefault="00A45147" w:rsidP="007D7A77">
            <w:pPr>
              <w:spacing w:after="0" w:line="240" w:lineRule="auto"/>
              <w:rPr>
                <w:rFonts w:ascii="Tahoma" w:eastAsia="Times New Roman" w:hAnsi="Tahoma" w:cs="Tahoma"/>
                <w:b/>
                <w:bCs/>
                <w:sz w:val="16"/>
                <w:szCs w:val="16"/>
                <w:lang w:eastAsia="en-AU"/>
              </w:rPr>
            </w:pPr>
            <w:r w:rsidRPr="00A45147">
              <w:rPr>
                <w:rFonts w:ascii="Tahoma" w:eastAsia="Times New Roman" w:hAnsi="Tahoma" w:cs="Tahoma"/>
                <w:b/>
                <w:bCs/>
                <w:sz w:val="16"/>
                <w:szCs w:val="16"/>
                <w:lang w:eastAsia="en-AU"/>
              </w:rPr>
              <w:t>Per</w:t>
            </w:r>
            <w:r w:rsidR="007D7A77">
              <w:rPr>
                <w:rFonts w:ascii="Tahoma" w:eastAsia="Times New Roman" w:hAnsi="Tahoma" w:cs="Tahoma"/>
                <w:b/>
                <w:bCs/>
                <w:sz w:val="16"/>
                <w:szCs w:val="16"/>
                <w:lang w:eastAsia="en-AU"/>
              </w:rPr>
              <w:t xml:space="preserve"> </w:t>
            </w:r>
            <w:r w:rsidRPr="00A45147">
              <w:rPr>
                <w:rFonts w:ascii="Tahoma" w:eastAsia="Times New Roman" w:hAnsi="Tahoma" w:cs="Tahoma"/>
                <w:b/>
                <w:bCs/>
                <w:sz w:val="16"/>
                <w:szCs w:val="16"/>
                <w:lang w:eastAsia="en-AU"/>
              </w:rPr>
              <w:t>cent of Tasmania</w:t>
            </w:r>
          </w:p>
        </w:tc>
        <w:tc>
          <w:tcPr>
            <w:tcW w:w="1417" w:type="dxa"/>
            <w:tcBorders>
              <w:top w:val="nil"/>
              <w:left w:val="single" w:sz="4" w:space="0" w:color="FFFFFF"/>
              <w:bottom w:val="single" w:sz="12" w:space="0" w:color="FFFFFF"/>
              <w:right w:val="nil"/>
            </w:tcBorders>
            <w:shd w:val="clear" w:color="auto" w:fill="F2DBDB" w:themeFill="accent2" w:themeFillTint="33"/>
            <w:hideMark/>
          </w:tcPr>
          <w:p w14:paraId="42E68F83" w14:textId="4DF0E004" w:rsidR="00A45147" w:rsidRPr="00A45147" w:rsidRDefault="00A45147" w:rsidP="007D7A77">
            <w:pPr>
              <w:spacing w:after="0" w:line="240" w:lineRule="auto"/>
              <w:rPr>
                <w:rFonts w:ascii="Tahoma" w:eastAsia="Times New Roman" w:hAnsi="Tahoma" w:cs="Tahoma"/>
                <w:b/>
                <w:bCs/>
                <w:sz w:val="16"/>
                <w:szCs w:val="16"/>
                <w:lang w:eastAsia="en-AU"/>
              </w:rPr>
            </w:pPr>
            <w:r w:rsidRPr="00A45147">
              <w:rPr>
                <w:rFonts w:ascii="Tahoma" w:eastAsia="Times New Roman" w:hAnsi="Tahoma" w:cs="Tahoma"/>
                <w:b/>
                <w:bCs/>
                <w:sz w:val="16"/>
                <w:szCs w:val="16"/>
                <w:lang w:eastAsia="en-AU"/>
              </w:rPr>
              <w:t>Per</w:t>
            </w:r>
            <w:r w:rsidR="007D7A77">
              <w:rPr>
                <w:rFonts w:ascii="Tahoma" w:eastAsia="Times New Roman" w:hAnsi="Tahoma" w:cs="Tahoma"/>
                <w:b/>
                <w:bCs/>
                <w:sz w:val="16"/>
                <w:szCs w:val="16"/>
                <w:lang w:eastAsia="en-AU"/>
              </w:rPr>
              <w:t xml:space="preserve"> </w:t>
            </w:r>
            <w:r w:rsidRPr="00A45147">
              <w:rPr>
                <w:rFonts w:ascii="Tahoma" w:eastAsia="Times New Roman" w:hAnsi="Tahoma" w:cs="Tahoma"/>
                <w:b/>
                <w:bCs/>
                <w:sz w:val="16"/>
                <w:szCs w:val="16"/>
                <w:lang w:eastAsia="en-AU"/>
              </w:rPr>
              <w:t>cent of Australia</w:t>
            </w:r>
          </w:p>
        </w:tc>
      </w:tr>
      <w:tr w:rsidR="00A45147" w:rsidRPr="00A45147" w14:paraId="3B97A369" w14:textId="77777777" w:rsidTr="00A45147">
        <w:trPr>
          <w:trHeight w:val="225"/>
        </w:trPr>
        <w:tc>
          <w:tcPr>
            <w:tcW w:w="3119" w:type="dxa"/>
            <w:gridSpan w:val="2"/>
            <w:tcBorders>
              <w:top w:val="single" w:sz="4" w:space="0" w:color="FFFFFF"/>
              <w:left w:val="nil"/>
              <w:bottom w:val="single" w:sz="4" w:space="0" w:color="FFFFFF"/>
              <w:right w:val="single" w:sz="4" w:space="0" w:color="FFFFFF"/>
            </w:tcBorders>
            <w:shd w:val="clear" w:color="auto" w:fill="D99594" w:themeFill="accent2" w:themeFillTint="99"/>
            <w:noWrap/>
            <w:vAlign w:val="bottom"/>
            <w:hideMark/>
          </w:tcPr>
          <w:p w14:paraId="36B9EFA9" w14:textId="1503D618" w:rsidR="00A45147" w:rsidRPr="00A45147" w:rsidRDefault="007D7A77" w:rsidP="007D7A77">
            <w:pPr>
              <w:spacing w:after="0" w:line="240" w:lineRule="auto"/>
              <w:rPr>
                <w:rFonts w:ascii="Tahoma" w:eastAsia="Times New Roman" w:hAnsi="Tahoma" w:cs="Tahoma"/>
                <w:sz w:val="16"/>
                <w:szCs w:val="16"/>
                <w:lang w:eastAsia="en-AU"/>
              </w:rPr>
            </w:pPr>
            <w:r>
              <w:rPr>
                <w:rFonts w:ascii="Tahoma" w:eastAsia="Times New Roman" w:hAnsi="Tahoma" w:cs="Tahoma"/>
                <w:sz w:val="16"/>
                <w:szCs w:val="16"/>
                <w:lang w:eastAsia="en-AU"/>
              </w:rPr>
              <w:t>Industry value a</w:t>
            </w:r>
            <w:r w:rsidR="00A45147" w:rsidRPr="00A45147">
              <w:rPr>
                <w:rFonts w:ascii="Tahoma" w:eastAsia="Times New Roman" w:hAnsi="Tahoma" w:cs="Tahoma"/>
                <w:sz w:val="16"/>
                <w:szCs w:val="16"/>
                <w:lang w:eastAsia="en-AU"/>
              </w:rPr>
              <w:t>dd</w:t>
            </w:r>
            <w:r w:rsidR="00A45147" w:rsidRPr="00A45147">
              <w:rPr>
                <w:rFonts w:ascii="Tahoma" w:eastAsia="Times New Roman" w:hAnsi="Tahoma" w:cs="Tahoma"/>
                <w:sz w:val="16"/>
                <w:szCs w:val="16"/>
                <w:vertAlign w:val="superscript"/>
                <w:lang w:eastAsia="en-AU"/>
              </w:rPr>
              <w:t xml:space="preserve"> (a)</w:t>
            </w:r>
          </w:p>
        </w:tc>
        <w:tc>
          <w:tcPr>
            <w:tcW w:w="992" w:type="dxa"/>
            <w:gridSpan w:val="2"/>
            <w:tcBorders>
              <w:top w:val="single" w:sz="4" w:space="0" w:color="FFFFFF"/>
              <w:left w:val="single" w:sz="4" w:space="0" w:color="FFFFFF"/>
              <w:bottom w:val="single" w:sz="4" w:space="0" w:color="FFFFFF"/>
              <w:right w:val="single" w:sz="4" w:space="0" w:color="FFFFFF"/>
            </w:tcBorders>
            <w:shd w:val="clear" w:color="auto" w:fill="D99594" w:themeFill="accent2" w:themeFillTint="99"/>
            <w:noWrap/>
            <w:vAlign w:val="bottom"/>
            <w:hideMark/>
          </w:tcPr>
          <w:p w14:paraId="162BFF6A" w14:textId="77777777" w:rsidR="00A45147" w:rsidRPr="00A45147" w:rsidRDefault="00A45147" w:rsidP="007D7A77">
            <w:pPr>
              <w:spacing w:after="0" w:line="240" w:lineRule="auto"/>
              <w:rPr>
                <w:rFonts w:ascii="Tahoma" w:eastAsia="Times New Roman" w:hAnsi="Tahoma" w:cs="Tahoma"/>
                <w:color w:val="000000"/>
                <w:sz w:val="16"/>
                <w:szCs w:val="16"/>
                <w:lang w:eastAsia="en-AU"/>
              </w:rPr>
            </w:pPr>
            <w:r w:rsidRPr="00A45147">
              <w:rPr>
                <w:rFonts w:ascii="Tahoma" w:eastAsia="Times New Roman" w:hAnsi="Tahoma" w:cs="Tahoma"/>
                <w:color w:val="000000"/>
                <w:sz w:val="16"/>
                <w:szCs w:val="16"/>
                <w:lang w:eastAsia="en-AU"/>
              </w:rPr>
              <w:t>$M</w:t>
            </w:r>
          </w:p>
        </w:tc>
        <w:tc>
          <w:tcPr>
            <w:tcW w:w="993" w:type="dxa"/>
            <w:tcBorders>
              <w:top w:val="single" w:sz="4" w:space="0" w:color="FFFFFF"/>
              <w:left w:val="single" w:sz="4" w:space="0" w:color="FFFFFF"/>
              <w:bottom w:val="single" w:sz="4" w:space="0" w:color="FFFFFF"/>
              <w:right w:val="single" w:sz="4" w:space="0" w:color="FFFFFF"/>
            </w:tcBorders>
            <w:shd w:val="clear" w:color="auto" w:fill="D99594" w:themeFill="accent2" w:themeFillTint="99"/>
            <w:noWrap/>
            <w:vAlign w:val="bottom"/>
            <w:hideMark/>
          </w:tcPr>
          <w:p w14:paraId="30F230E4" w14:textId="77777777" w:rsidR="00A45147" w:rsidRPr="00A45147" w:rsidRDefault="00A45147" w:rsidP="007D7A77">
            <w:pPr>
              <w:spacing w:after="0" w:line="240" w:lineRule="auto"/>
              <w:rPr>
                <w:rFonts w:ascii="Tahoma" w:eastAsia="Times New Roman" w:hAnsi="Tahoma" w:cs="Tahoma"/>
                <w:color w:val="000000"/>
                <w:sz w:val="16"/>
                <w:szCs w:val="16"/>
                <w:lang w:eastAsia="en-AU"/>
              </w:rPr>
            </w:pPr>
            <w:r w:rsidRPr="00A45147">
              <w:rPr>
                <w:rFonts w:ascii="Tahoma" w:eastAsia="Times New Roman" w:hAnsi="Tahoma" w:cs="Tahoma"/>
                <w:color w:val="000000"/>
                <w:sz w:val="16"/>
                <w:szCs w:val="16"/>
                <w:lang w:eastAsia="en-AU"/>
              </w:rPr>
              <w:t>2012-13</w:t>
            </w:r>
          </w:p>
        </w:tc>
        <w:tc>
          <w:tcPr>
            <w:tcW w:w="1025" w:type="dxa"/>
            <w:tcBorders>
              <w:top w:val="single" w:sz="4" w:space="0" w:color="FFFFFF"/>
              <w:left w:val="single" w:sz="4" w:space="0" w:color="FFFFFF"/>
              <w:bottom w:val="single" w:sz="4" w:space="0" w:color="FFFFFF"/>
              <w:right w:val="single" w:sz="4" w:space="0" w:color="FFFFFF"/>
            </w:tcBorders>
            <w:shd w:val="clear" w:color="auto" w:fill="D99594" w:themeFill="accent2" w:themeFillTint="99"/>
            <w:noWrap/>
            <w:vAlign w:val="bottom"/>
            <w:hideMark/>
          </w:tcPr>
          <w:p w14:paraId="564A7B2F" w14:textId="75895576" w:rsidR="00A45147" w:rsidRPr="00A45147" w:rsidRDefault="007D7A77" w:rsidP="007D7A77">
            <w:pPr>
              <w:spacing w:after="0" w:line="240" w:lineRule="auto"/>
              <w:rPr>
                <w:rFonts w:ascii="Tahoma" w:eastAsia="Times New Roman" w:hAnsi="Tahoma" w:cs="Tahoma"/>
                <w:color w:val="000000"/>
                <w:sz w:val="16"/>
                <w:szCs w:val="16"/>
                <w:lang w:eastAsia="en-AU"/>
              </w:rPr>
            </w:pPr>
            <w:r>
              <w:rPr>
                <w:rFonts w:ascii="Tahoma" w:eastAsia="Times New Roman" w:hAnsi="Tahoma" w:cs="Tahoma"/>
                <w:color w:val="000000"/>
                <w:sz w:val="16"/>
                <w:szCs w:val="16"/>
                <w:lang w:eastAsia="en-AU"/>
              </w:rPr>
              <w:t xml:space="preserve">$1 </w:t>
            </w:r>
            <w:r w:rsidR="00A45147" w:rsidRPr="00A45147">
              <w:rPr>
                <w:rFonts w:ascii="Tahoma" w:eastAsia="Times New Roman" w:hAnsi="Tahoma" w:cs="Tahoma"/>
                <w:color w:val="000000"/>
                <w:sz w:val="16"/>
                <w:szCs w:val="16"/>
                <w:lang w:eastAsia="en-AU"/>
              </w:rPr>
              <w:t>524</w:t>
            </w:r>
          </w:p>
        </w:tc>
        <w:tc>
          <w:tcPr>
            <w:tcW w:w="1526" w:type="dxa"/>
            <w:gridSpan w:val="3"/>
            <w:tcBorders>
              <w:top w:val="single" w:sz="4" w:space="0" w:color="FFFFFF"/>
              <w:left w:val="single" w:sz="4" w:space="0" w:color="FFFFFF"/>
              <w:bottom w:val="single" w:sz="4" w:space="0" w:color="FFFFFF"/>
              <w:right w:val="single" w:sz="4" w:space="0" w:color="FFFFFF"/>
            </w:tcBorders>
            <w:shd w:val="clear" w:color="auto" w:fill="D99594" w:themeFill="accent2" w:themeFillTint="99"/>
            <w:noWrap/>
            <w:vAlign w:val="bottom"/>
            <w:hideMark/>
          </w:tcPr>
          <w:p w14:paraId="0264AA8C" w14:textId="69872EF2" w:rsidR="00A45147" w:rsidRPr="00A45147" w:rsidRDefault="007D7A77" w:rsidP="007D7A77">
            <w:pPr>
              <w:spacing w:after="0" w:line="240" w:lineRule="auto"/>
              <w:rPr>
                <w:rFonts w:ascii="Tahoma" w:eastAsia="Times New Roman" w:hAnsi="Tahoma" w:cs="Tahoma"/>
                <w:color w:val="000000"/>
                <w:sz w:val="16"/>
                <w:szCs w:val="16"/>
                <w:lang w:eastAsia="en-AU"/>
              </w:rPr>
            </w:pPr>
            <w:r>
              <w:rPr>
                <w:rFonts w:ascii="Tahoma" w:eastAsia="Times New Roman" w:hAnsi="Tahoma" w:cs="Tahoma"/>
                <w:color w:val="000000"/>
                <w:sz w:val="16"/>
                <w:szCs w:val="16"/>
                <w:lang w:eastAsia="en-AU"/>
              </w:rPr>
              <w:t>NA</w:t>
            </w:r>
          </w:p>
        </w:tc>
        <w:tc>
          <w:tcPr>
            <w:tcW w:w="1276" w:type="dxa"/>
            <w:tcBorders>
              <w:top w:val="single" w:sz="4" w:space="0" w:color="FFFFFF"/>
              <w:left w:val="single" w:sz="4" w:space="0" w:color="FFFFFF"/>
              <w:bottom w:val="single" w:sz="4" w:space="0" w:color="FFFFFF"/>
              <w:right w:val="single" w:sz="4" w:space="0" w:color="FFFFFF"/>
            </w:tcBorders>
            <w:shd w:val="clear" w:color="auto" w:fill="D99594" w:themeFill="accent2" w:themeFillTint="99"/>
            <w:noWrap/>
            <w:vAlign w:val="bottom"/>
            <w:hideMark/>
          </w:tcPr>
          <w:p w14:paraId="6AEF629F" w14:textId="77777777" w:rsidR="00A45147" w:rsidRPr="00A45147" w:rsidRDefault="00A45147" w:rsidP="007D7A77">
            <w:pPr>
              <w:spacing w:after="0" w:line="240" w:lineRule="auto"/>
              <w:rPr>
                <w:rFonts w:ascii="Tahoma" w:eastAsia="Times New Roman" w:hAnsi="Tahoma" w:cs="Tahoma"/>
                <w:color w:val="000000"/>
                <w:sz w:val="16"/>
                <w:szCs w:val="16"/>
                <w:lang w:eastAsia="en-AU"/>
              </w:rPr>
            </w:pPr>
            <w:r w:rsidRPr="00A45147">
              <w:rPr>
                <w:rFonts w:ascii="Tahoma" w:eastAsia="Times New Roman" w:hAnsi="Tahoma" w:cs="Tahoma"/>
                <w:color w:val="000000"/>
                <w:sz w:val="16"/>
                <w:szCs w:val="16"/>
                <w:lang w:eastAsia="en-AU"/>
              </w:rPr>
              <w:t>6.3%</w:t>
            </w:r>
          </w:p>
        </w:tc>
        <w:tc>
          <w:tcPr>
            <w:tcW w:w="1417" w:type="dxa"/>
            <w:tcBorders>
              <w:top w:val="single" w:sz="4" w:space="0" w:color="FFFFFF"/>
              <w:left w:val="single" w:sz="4" w:space="0" w:color="FFFFFF"/>
              <w:bottom w:val="single" w:sz="4" w:space="0" w:color="FFFFFF"/>
              <w:right w:val="nil"/>
            </w:tcBorders>
            <w:shd w:val="clear" w:color="auto" w:fill="D99594" w:themeFill="accent2" w:themeFillTint="99"/>
            <w:noWrap/>
            <w:vAlign w:val="bottom"/>
            <w:hideMark/>
          </w:tcPr>
          <w:p w14:paraId="7CA75C94" w14:textId="77777777" w:rsidR="00A45147" w:rsidRPr="00A45147" w:rsidRDefault="00A45147" w:rsidP="007D7A77">
            <w:pPr>
              <w:spacing w:after="0" w:line="240" w:lineRule="auto"/>
              <w:rPr>
                <w:rFonts w:ascii="Tahoma" w:eastAsia="Times New Roman" w:hAnsi="Tahoma" w:cs="Tahoma"/>
                <w:color w:val="000000"/>
                <w:sz w:val="16"/>
                <w:szCs w:val="16"/>
                <w:lang w:eastAsia="en-AU"/>
              </w:rPr>
            </w:pPr>
            <w:r w:rsidRPr="00A45147">
              <w:rPr>
                <w:rFonts w:ascii="Tahoma" w:eastAsia="Times New Roman" w:hAnsi="Tahoma" w:cs="Tahoma"/>
                <w:color w:val="000000"/>
                <w:sz w:val="16"/>
                <w:szCs w:val="16"/>
                <w:lang w:eastAsia="en-AU"/>
              </w:rPr>
              <w:t>8.1%</w:t>
            </w:r>
          </w:p>
        </w:tc>
      </w:tr>
      <w:tr w:rsidR="00A45147" w:rsidRPr="00A45147" w14:paraId="2A4CA0D8" w14:textId="77777777" w:rsidTr="00A45147">
        <w:trPr>
          <w:trHeight w:val="225"/>
        </w:trPr>
        <w:tc>
          <w:tcPr>
            <w:tcW w:w="3119" w:type="dxa"/>
            <w:gridSpan w:val="2"/>
            <w:tcBorders>
              <w:top w:val="single" w:sz="4" w:space="0" w:color="FFFFFF"/>
              <w:left w:val="nil"/>
              <w:bottom w:val="single" w:sz="4" w:space="0" w:color="FFFFFF"/>
              <w:right w:val="single" w:sz="4" w:space="0" w:color="FFFFFF"/>
            </w:tcBorders>
            <w:shd w:val="clear" w:color="auto" w:fill="F2DBDB" w:themeFill="accent2" w:themeFillTint="33"/>
            <w:noWrap/>
            <w:vAlign w:val="bottom"/>
            <w:hideMark/>
          </w:tcPr>
          <w:p w14:paraId="4364C08C" w14:textId="77777777" w:rsidR="00A45147" w:rsidRPr="00A45147" w:rsidRDefault="00A45147" w:rsidP="007D7A77">
            <w:pPr>
              <w:spacing w:after="0" w:line="240" w:lineRule="auto"/>
              <w:rPr>
                <w:rFonts w:ascii="Tahoma" w:eastAsia="Times New Roman" w:hAnsi="Tahoma" w:cs="Tahoma"/>
                <w:sz w:val="16"/>
                <w:szCs w:val="16"/>
                <w:lang w:eastAsia="en-AU"/>
              </w:rPr>
            </w:pPr>
            <w:r w:rsidRPr="00A45147">
              <w:rPr>
                <w:rFonts w:ascii="Tahoma" w:eastAsia="Times New Roman" w:hAnsi="Tahoma" w:cs="Tahoma"/>
                <w:sz w:val="16"/>
                <w:szCs w:val="16"/>
                <w:lang w:eastAsia="en-AU"/>
              </w:rPr>
              <w:t xml:space="preserve">Employment </w:t>
            </w:r>
            <w:r w:rsidRPr="00A45147">
              <w:rPr>
                <w:rFonts w:ascii="Tahoma" w:eastAsia="Times New Roman" w:hAnsi="Tahoma" w:cs="Tahoma"/>
                <w:sz w:val="16"/>
                <w:szCs w:val="16"/>
                <w:vertAlign w:val="superscript"/>
                <w:lang w:eastAsia="en-AU"/>
              </w:rPr>
              <w:t>(b)</w:t>
            </w:r>
          </w:p>
        </w:tc>
        <w:tc>
          <w:tcPr>
            <w:tcW w:w="992" w:type="dxa"/>
            <w:gridSpan w:val="2"/>
            <w:tcBorders>
              <w:top w:val="single" w:sz="4" w:space="0" w:color="FFFFFF"/>
              <w:left w:val="single" w:sz="4" w:space="0" w:color="FFFFFF"/>
              <w:bottom w:val="single" w:sz="4" w:space="0" w:color="FFFFFF"/>
              <w:right w:val="single" w:sz="4" w:space="0" w:color="FFFFFF"/>
            </w:tcBorders>
            <w:shd w:val="clear" w:color="auto" w:fill="F2DBDB" w:themeFill="accent2" w:themeFillTint="33"/>
            <w:noWrap/>
            <w:vAlign w:val="bottom"/>
            <w:hideMark/>
          </w:tcPr>
          <w:p w14:paraId="0B3B86B1" w14:textId="77777777" w:rsidR="00A45147" w:rsidRPr="00A45147" w:rsidRDefault="00A45147" w:rsidP="007D7A77">
            <w:pPr>
              <w:spacing w:after="0" w:line="240" w:lineRule="auto"/>
              <w:rPr>
                <w:rFonts w:ascii="Tahoma" w:eastAsia="Times New Roman" w:hAnsi="Tahoma" w:cs="Tahoma"/>
                <w:color w:val="000000"/>
                <w:sz w:val="16"/>
                <w:szCs w:val="16"/>
                <w:lang w:eastAsia="en-AU"/>
              </w:rPr>
            </w:pPr>
            <w:r w:rsidRPr="00A45147">
              <w:rPr>
                <w:rFonts w:ascii="Tahoma" w:eastAsia="Times New Roman" w:hAnsi="Tahoma" w:cs="Tahoma"/>
                <w:color w:val="000000"/>
                <w:sz w:val="16"/>
                <w:szCs w:val="16"/>
                <w:lang w:eastAsia="en-AU"/>
              </w:rPr>
              <w:t>No.</w:t>
            </w:r>
          </w:p>
        </w:tc>
        <w:tc>
          <w:tcPr>
            <w:tcW w:w="993" w:type="dxa"/>
            <w:tcBorders>
              <w:top w:val="single" w:sz="4" w:space="0" w:color="FFFFFF"/>
              <w:left w:val="single" w:sz="4" w:space="0" w:color="FFFFFF"/>
              <w:bottom w:val="single" w:sz="4" w:space="0" w:color="FFFFFF"/>
              <w:right w:val="single" w:sz="4" w:space="0" w:color="FFFFFF"/>
            </w:tcBorders>
            <w:shd w:val="clear" w:color="auto" w:fill="F2DBDB" w:themeFill="accent2" w:themeFillTint="33"/>
            <w:noWrap/>
            <w:vAlign w:val="bottom"/>
            <w:hideMark/>
          </w:tcPr>
          <w:p w14:paraId="05AAE0E3" w14:textId="77777777" w:rsidR="00A45147" w:rsidRPr="00A45147" w:rsidRDefault="00A45147" w:rsidP="007D7A77">
            <w:pPr>
              <w:spacing w:after="0" w:line="240" w:lineRule="auto"/>
              <w:rPr>
                <w:rFonts w:ascii="Tahoma" w:eastAsia="Times New Roman" w:hAnsi="Tahoma" w:cs="Tahoma"/>
                <w:color w:val="000000"/>
                <w:sz w:val="16"/>
                <w:szCs w:val="16"/>
                <w:lang w:eastAsia="en-AU"/>
              </w:rPr>
            </w:pPr>
            <w:r w:rsidRPr="00A45147">
              <w:rPr>
                <w:rFonts w:ascii="Tahoma" w:eastAsia="Times New Roman" w:hAnsi="Tahoma" w:cs="Tahoma"/>
                <w:color w:val="000000"/>
                <w:sz w:val="16"/>
                <w:szCs w:val="16"/>
                <w:lang w:eastAsia="en-AU"/>
              </w:rPr>
              <w:t>2011</w:t>
            </w:r>
          </w:p>
        </w:tc>
        <w:tc>
          <w:tcPr>
            <w:tcW w:w="1025" w:type="dxa"/>
            <w:tcBorders>
              <w:top w:val="single" w:sz="4" w:space="0" w:color="FFFFFF"/>
              <w:left w:val="single" w:sz="4" w:space="0" w:color="FFFFFF"/>
              <w:bottom w:val="single" w:sz="4" w:space="0" w:color="FFFFFF"/>
              <w:right w:val="single" w:sz="4" w:space="0" w:color="FFFFFF"/>
            </w:tcBorders>
            <w:shd w:val="clear" w:color="auto" w:fill="F2DBDB" w:themeFill="accent2" w:themeFillTint="33"/>
            <w:noWrap/>
            <w:vAlign w:val="bottom"/>
            <w:hideMark/>
          </w:tcPr>
          <w:p w14:paraId="07821ADE" w14:textId="6E265102" w:rsidR="00A45147" w:rsidRPr="00A45147" w:rsidRDefault="007D7A77" w:rsidP="007D7A77">
            <w:pPr>
              <w:spacing w:after="0" w:line="240" w:lineRule="auto"/>
              <w:rPr>
                <w:rFonts w:ascii="Tahoma" w:eastAsia="Times New Roman" w:hAnsi="Tahoma" w:cs="Tahoma"/>
                <w:color w:val="000000"/>
                <w:sz w:val="16"/>
                <w:szCs w:val="16"/>
                <w:lang w:eastAsia="en-AU"/>
              </w:rPr>
            </w:pPr>
            <w:r>
              <w:rPr>
                <w:rFonts w:ascii="Tahoma" w:eastAsia="Times New Roman" w:hAnsi="Tahoma" w:cs="Tahoma"/>
                <w:color w:val="000000"/>
                <w:sz w:val="16"/>
                <w:szCs w:val="16"/>
                <w:lang w:eastAsia="en-AU"/>
              </w:rPr>
              <w:t xml:space="preserve">16 </w:t>
            </w:r>
            <w:r w:rsidR="00A45147" w:rsidRPr="00A45147">
              <w:rPr>
                <w:rFonts w:ascii="Tahoma" w:eastAsia="Times New Roman" w:hAnsi="Tahoma" w:cs="Tahoma"/>
                <w:color w:val="000000"/>
                <w:sz w:val="16"/>
                <w:szCs w:val="16"/>
                <w:lang w:eastAsia="en-AU"/>
              </w:rPr>
              <w:t>144</w:t>
            </w:r>
          </w:p>
        </w:tc>
        <w:tc>
          <w:tcPr>
            <w:tcW w:w="1526" w:type="dxa"/>
            <w:gridSpan w:val="3"/>
            <w:tcBorders>
              <w:top w:val="single" w:sz="4" w:space="0" w:color="FFFFFF"/>
              <w:left w:val="single" w:sz="4" w:space="0" w:color="FFFFFF"/>
              <w:bottom w:val="single" w:sz="4" w:space="0" w:color="FFFFFF"/>
              <w:right w:val="single" w:sz="4" w:space="0" w:color="FFFFFF"/>
            </w:tcBorders>
            <w:shd w:val="clear" w:color="auto" w:fill="F2DBDB" w:themeFill="accent2" w:themeFillTint="33"/>
            <w:noWrap/>
            <w:vAlign w:val="bottom"/>
            <w:hideMark/>
          </w:tcPr>
          <w:p w14:paraId="254D652E" w14:textId="77777777" w:rsidR="00A45147" w:rsidRPr="00A45147" w:rsidRDefault="00A45147" w:rsidP="007D7A77">
            <w:pPr>
              <w:spacing w:after="0" w:line="240" w:lineRule="auto"/>
              <w:rPr>
                <w:rFonts w:ascii="Tahoma" w:eastAsia="Times New Roman" w:hAnsi="Tahoma" w:cs="Tahoma"/>
                <w:color w:val="000000"/>
                <w:sz w:val="16"/>
                <w:szCs w:val="16"/>
                <w:lang w:eastAsia="en-AU"/>
              </w:rPr>
            </w:pPr>
            <w:r w:rsidRPr="00A45147">
              <w:rPr>
                <w:rFonts w:ascii="Tahoma" w:eastAsia="Times New Roman" w:hAnsi="Tahoma" w:cs="Tahoma"/>
                <w:color w:val="000000"/>
                <w:sz w:val="16"/>
                <w:szCs w:val="16"/>
                <w:lang w:eastAsia="en-AU"/>
              </w:rPr>
              <w:t>25.7%</w:t>
            </w:r>
          </w:p>
        </w:tc>
        <w:tc>
          <w:tcPr>
            <w:tcW w:w="1276" w:type="dxa"/>
            <w:tcBorders>
              <w:top w:val="single" w:sz="4" w:space="0" w:color="FFFFFF"/>
              <w:left w:val="single" w:sz="4" w:space="0" w:color="FFFFFF"/>
              <w:bottom w:val="single" w:sz="4" w:space="0" w:color="FFFFFF"/>
              <w:right w:val="single" w:sz="4" w:space="0" w:color="FFFFFF"/>
            </w:tcBorders>
            <w:shd w:val="clear" w:color="auto" w:fill="F2DBDB" w:themeFill="accent2" w:themeFillTint="33"/>
            <w:noWrap/>
            <w:vAlign w:val="bottom"/>
            <w:hideMark/>
          </w:tcPr>
          <w:p w14:paraId="252F67D6" w14:textId="77777777" w:rsidR="00A45147" w:rsidRPr="00A45147" w:rsidRDefault="00A45147" w:rsidP="007D7A77">
            <w:pPr>
              <w:spacing w:after="0" w:line="240" w:lineRule="auto"/>
              <w:rPr>
                <w:rFonts w:ascii="Tahoma" w:eastAsia="Times New Roman" w:hAnsi="Tahoma" w:cs="Tahoma"/>
                <w:color w:val="000000"/>
                <w:sz w:val="16"/>
                <w:szCs w:val="16"/>
                <w:lang w:eastAsia="en-AU"/>
              </w:rPr>
            </w:pPr>
            <w:r w:rsidRPr="00A45147">
              <w:rPr>
                <w:rFonts w:ascii="Tahoma" w:eastAsia="Times New Roman" w:hAnsi="Tahoma" w:cs="Tahoma"/>
                <w:color w:val="000000"/>
                <w:sz w:val="16"/>
                <w:szCs w:val="16"/>
                <w:lang w:eastAsia="en-AU"/>
              </w:rPr>
              <w:t>7.6%</w:t>
            </w:r>
          </w:p>
        </w:tc>
        <w:tc>
          <w:tcPr>
            <w:tcW w:w="1417" w:type="dxa"/>
            <w:tcBorders>
              <w:top w:val="single" w:sz="4" w:space="0" w:color="FFFFFF"/>
              <w:left w:val="single" w:sz="4" w:space="0" w:color="FFFFFF"/>
              <w:bottom w:val="single" w:sz="4" w:space="0" w:color="FFFFFF"/>
              <w:right w:val="nil"/>
            </w:tcBorders>
            <w:shd w:val="clear" w:color="auto" w:fill="F2DBDB" w:themeFill="accent2" w:themeFillTint="33"/>
            <w:noWrap/>
            <w:vAlign w:val="bottom"/>
            <w:hideMark/>
          </w:tcPr>
          <w:p w14:paraId="26AF3338" w14:textId="77777777" w:rsidR="00A45147" w:rsidRPr="00A45147" w:rsidRDefault="00A45147" w:rsidP="007D7A77">
            <w:pPr>
              <w:spacing w:after="0" w:line="240" w:lineRule="auto"/>
              <w:rPr>
                <w:rFonts w:ascii="Tahoma" w:eastAsia="Times New Roman" w:hAnsi="Tahoma" w:cs="Tahoma"/>
                <w:color w:val="000000"/>
                <w:sz w:val="16"/>
                <w:szCs w:val="16"/>
                <w:lang w:eastAsia="en-AU"/>
              </w:rPr>
            </w:pPr>
            <w:r w:rsidRPr="00A45147">
              <w:rPr>
                <w:rFonts w:ascii="Tahoma" w:eastAsia="Times New Roman" w:hAnsi="Tahoma" w:cs="Tahoma"/>
                <w:color w:val="000000"/>
                <w:sz w:val="16"/>
                <w:szCs w:val="16"/>
                <w:lang w:eastAsia="en-AU"/>
              </w:rPr>
              <w:t>8.2%</w:t>
            </w:r>
          </w:p>
        </w:tc>
      </w:tr>
      <w:tr w:rsidR="00A45147" w:rsidRPr="00A45147" w14:paraId="650A1309" w14:textId="77777777" w:rsidTr="00A45147">
        <w:trPr>
          <w:trHeight w:val="225"/>
        </w:trPr>
        <w:tc>
          <w:tcPr>
            <w:tcW w:w="3119" w:type="dxa"/>
            <w:gridSpan w:val="2"/>
            <w:tcBorders>
              <w:top w:val="single" w:sz="4" w:space="0" w:color="FFFFFF"/>
              <w:left w:val="nil"/>
              <w:bottom w:val="single" w:sz="4" w:space="0" w:color="FFFFFF"/>
              <w:right w:val="single" w:sz="4" w:space="0" w:color="FFFFFF"/>
            </w:tcBorders>
            <w:shd w:val="clear" w:color="auto" w:fill="D99594" w:themeFill="accent2" w:themeFillTint="99"/>
            <w:noWrap/>
            <w:vAlign w:val="bottom"/>
            <w:hideMark/>
          </w:tcPr>
          <w:p w14:paraId="58C34C78" w14:textId="7E6BEB55" w:rsidR="00A45147" w:rsidRPr="00A45147" w:rsidRDefault="007D7A77" w:rsidP="007D7A77">
            <w:pPr>
              <w:spacing w:after="0" w:line="240" w:lineRule="auto"/>
              <w:rPr>
                <w:rFonts w:ascii="Tahoma" w:eastAsia="Times New Roman" w:hAnsi="Tahoma" w:cs="Tahoma"/>
                <w:sz w:val="16"/>
                <w:szCs w:val="16"/>
                <w:lang w:eastAsia="en-AU"/>
              </w:rPr>
            </w:pPr>
            <w:r>
              <w:rPr>
                <w:rFonts w:ascii="Tahoma" w:eastAsia="Times New Roman" w:hAnsi="Tahoma" w:cs="Tahoma"/>
                <w:sz w:val="16"/>
                <w:szCs w:val="16"/>
                <w:lang w:eastAsia="en-AU"/>
              </w:rPr>
              <w:t>International e</w:t>
            </w:r>
            <w:r w:rsidR="00A45147" w:rsidRPr="00A45147">
              <w:rPr>
                <w:rFonts w:ascii="Tahoma" w:eastAsia="Times New Roman" w:hAnsi="Tahoma" w:cs="Tahoma"/>
                <w:sz w:val="16"/>
                <w:szCs w:val="16"/>
                <w:lang w:eastAsia="en-AU"/>
              </w:rPr>
              <w:t>xports</w:t>
            </w:r>
            <w:r w:rsidR="00A45147" w:rsidRPr="00A45147">
              <w:rPr>
                <w:rFonts w:ascii="Tahoma" w:eastAsia="Times New Roman" w:hAnsi="Tahoma" w:cs="Tahoma"/>
                <w:sz w:val="16"/>
                <w:szCs w:val="16"/>
                <w:vertAlign w:val="superscript"/>
                <w:lang w:eastAsia="en-AU"/>
              </w:rPr>
              <w:t xml:space="preserve"> (c)</w:t>
            </w:r>
          </w:p>
        </w:tc>
        <w:tc>
          <w:tcPr>
            <w:tcW w:w="992" w:type="dxa"/>
            <w:gridSpan w:val="2"/>
            <w:tcBorders>
              <w:top w:val="single" w:sz="4" w:space="0" w:color="FFFFFF"/>
              <w:left w:val="single" w:sz="4" w:space="0" w:color="FFFFFF"/>
              <w:bottom w:val="single" w:sz="4" w:space="0" w:color="FFFFFF"/>
              <w:right w:val="single" w:sz="4" w:space="0" w:color="FFFFFF"/>
            </w:tcBorders>
            <w:shd w:val="clear" w:color="auto" w:fill="D99594" w:themeFill="accent2" w:themeFillTint="99"/>
            <w:noWrap/>
            <w:vAlign w:val="bottom"/>
            <w:hideMark/>
          </w:tcPr>
          <w:p w14:paraId="575974CE" w14:textId="77777777" w:rsidR="00A45147" w:rsidRPr="00A45147" w:rsidRDefault="00A45147" w:rsidP="007D7A77">
            <w:pPr>
              <w:spacing w:after="0" w:line="240" w:lineRule="auto"/>
              <w:rPr>
                <w:rFonts w:ascii="Tahoma" w:eastAsia="Times New Roman" w:hAnsi="Tahoma" w:cs="Tahoma"/>
                <w:color w:val="000000"/>
                <w:sz w:val="16"/>
                <w:szCs w:val="16"/>
                <w:lang w:eastAsia="en-AU"/>
              </w:rPr>
            </w:pPr>
            <w:r w:rsidRPr="00A45147">
              <w:rPr>
                <w:rFonts w:ascii="Tahoma" w:eastAsia="Times New Roman" w:hAnsi="Tahoma" w:cs="Tahoma"/>
                <w:color w:val="000000"/>
                <w:sz w:val="16"/>
                <w:szCs w:val="16"/>
                <w:lang w:eastAsia="en-AU"/>
              </w:rPr>
              <w:t>$M</w:t>
            </w:r>
          </w:p>
        </w:tc>
        <w:tc>
          <w:tcPr>
            <w:tcW w:w="993" w:type="dxa"/>
            <w:tcBorders>
              <w:top w:val="single" w:sz="4" w:space="0" w:color="FFFFFF"/>
              <w:left w:val="single" w:sz="4" w:space="0" w:color="FFFFFF"/>
              <w:bottom w:val="single" w:sz="4" w:space="0" w:color="FFFFFF"/>
              <w:right w:val="single" w:sz="4" w:space="0" w:color="FFFFFF"/>
            </w:tcBorders>
            <w:shd w:val="clear" w:color="auto" w:fill="D99594" w:themeFill="accent2" w:themeFillTint="99"/>
            <w:noWrap/>
            <w:vAlign w:val="bottom"/>
            <w:hideMark/>
          </w:tcPr>
          <w:p w14:paraId="1DE2DB2E" w14:textId="77777777" w:rsidR="00A45147" w:rsidRPr="00A45147" w:rsidRDefault="00A45147" w:rsidP="007D7A77">
            <w:pPr>
              <w:spacing w:after="0" w:line="240" w:lineRule="auto"/>
              <w:rPr>
                <w:rFonts w:ascii="Tahoma" w:eastAsia="Times New Roman" w:hAnsi="Tahoma" w:cs="Tahoma"/>
                <w:color w:val="000000"/>
                <w:sz w:val="16"/>
                <w:szCs w:val="16"/>
                <w:lang w:eastAsia="en-AU"/>
              </w:rPr>
            </w:pPr>
            <w:r w:rsidRPr="00A45147">
              <w:rPr>
                <w:rFonts w:ascii="Tahoma" w:eastAsia="Times New Roman" w:hAnsi="Tahoma" w:cs="Tahoma"/>
                <w:color w:val="000000"/>
                <w:sz w:val="16"/>
                <w:szCs w:val="16"/>
                <w:lang w:eastAsia="en-AU"/>
              </w:rPr>
              <w:t>2012-13</w:t>
            </w:r>
          </w:p>
        </w:tc>
        <w:tc>
          <w:tcPr>
            <w:tcW w:w="1025" w:type="dxa"/>
            <w:tcBorders>
              <w:top w:val="single" w:sz="4" w:space="0" w:color="FFFFFF"/>
              <w:left w:val="single" w:sz="4" w:space="0" w:color="FFFFFF"/>
              <w:bottom w:val="single" w:sz="4" w:space="0" w:color="FFFFFF"/>
              <w:right w:val="single" w:sz="4" w:space="0" w:color="FFFFFF"/>
            </w:tcBorders>
            <w:shd w:val="clear" w:color="auto" w:fill="D99594" w:themeFill="accent2" w:themeFillTint="99"/>
            <w:noWrap/>
            <w:vAlign w:val="bottom"/>
            <w:hideMark/>
          </w:tcPr>
          <w:p w14:paraId="22FF2D1C" w14:textId="7BA31776" w:rsidR="00A45147" w:rsidRPr="00A45147" w:rsidRDefault="007D7A77" w:rsidP="007D7A77">
            <w:pPr>
              <w:spacing w:after="0" w:line="240" w:lineRule="auto"/>
              <w:rPr>
                <w:rFonts w:ascii="Tahoma" w:eastAsia="Times New Roman" w:hAnsi="Tahoma" w:cs="Tahoma"/>
                <w:color w:val="000000"/>
                <w:sz w:val="16"/>
                <w:szCs w:val="16"/>
                <w:lang w:eastAsia="en-AU"/>
              </w:rPr>
            </w:pPr>
            <w:r>
              <w:rPr>
                <w:rFonts w:ascii="Tahoma" w:eastAsia="Times New Roman" w:hAnsi="Tahoma" w:cs="Tahoma"/>
                <w:color w:val="000000"/>
                <w:sz w:val="16"/>
                <w:szCs w:val="16"/>
                <w:lang w:eastAsia="en-AU"/>
              </w:rPr>
              <w:t>NA</w:t>
            </w:r>
          </w:p>
        </w:tc>
        <w:tc>
          <w:tcPr>
            <w:tcW w:w="1526" w:type="dxa"/>
            <w:gridSpan w:val="3"/>
            <w:tcBorders>
              <w:top w:val="single" w:sz="4" w:space="0" w:color="FFFFFF"/>
              <w:left w:val="single" w:sz="4" w:space="0" w:color="FFFFFF"/>
              <w:bottom w:val="single" w:sz="4" w:space="0" w:color="FFFFFF"/>
              <w:right w:val="single" w:sz="4" w:space="0" w:color="FFFFFF"/>
            </w:tcBorders>
            <w:shd w:val="clear" w:color="auto" w:fill="D99594" w:themeFill="accent2" w:themeFillTint="99"/>
            <w:noWrap/>
            <w:vAlign w:val="bottom"/>
            <w:hideMark/>
          </w:tcPr>
          <w:p w14:paraId="327243E5" w14:textId="009BDF13" w:rsidR="00A45147" w:rsidRPr="00A45147" w:rsidRDefault="007D7A77" w:rsidP="007D7A77">
            <w:pPr>
              <w:spacing w:after="0" w:line="240" w:lineRule="auto"/>
              <w:rPr>
                <w:rFonts w:ascii="Tahoma" w:eastAsia="Times New Roman" w:hAnsi="Tahoma" w:cs="Tahoma"/>
                <w:color w:val="000000"/>
                <w:sz w:val="16"/>
                <w:szCs w:val="16"/>
                <w:lang w:eastAsia="en-AU"/>
              </w:rPr>
            </w:pPr>
            <w:r>
              <w:rPr>
                <w:rFonts w:ascii="Tahoma" w:eastAsia="Times New Roman" w:hAnsi="Tahoma" w:cs="Tahoma"/>
                <w:color w:val="000000"/>
                <w:sz w:val="16"/>
                <w:szCs w:val="16"/>
                <w:lang w:eastAsia="en-AU"/>
              </w:rPr>
              <w:t>NA</w:t>
            </w:r>
          </w:p>
        </w:tc>
        <w:tc>
          <w:tcPr>
            <w:tcW w:w="1276" w:type="dxa"/>
            <w:tcBorders>
              <w:top w:val="single" w:sz="4" w:space="0" w:color="FFFFFF"/>
              <w:left w:val="single" w:sz="4" w:space="0" w:color="FFFFFF"/>
              <w:bottom w:val="single" w:sz="4" w:space="0" w:color="FFFFFF"/>
              <w:right w:val="single" w:sz="4" w:space="0" w:color="FFFFFF"/>
            </w:tcBorders>
            <w:shd w:val="clear" w:color="auto" w:fill="D99594" w:themeFill="accent2" w:themeFillTint="99"/>
            <w:noWrap/>
            <w:vAlign w:val="bottom"/>
            <w:hideMark/>
          </w:tcPr>
          <w:p w14:paraId="64A36EEC" w14:textId="30EC32BB" w:rsidR="00A45147" w:rsidRPr="00A45147" w:rsidRDefault="007D7A77" w:rsidP="007D7A77">
            <w:pPr>
              <w:spacing w:after="0" w:line="240" w:lineRule="auto"/>
              <w:rPr>
                <w:rFonts w:ascii="Tahoma" w:eastAsia="Times New Roman" w:hAnsi="Tahoma" w:cs="Tahoma"/>
                <w:color w:val="000000"/>
                <w:sz w:val="16"/>
                <w:szCs w:val="16"/>
                <w:lang w:eastAsia="en-AU"/>
              </w:rPr>
            </w:pPr>
            <w:r>
              <w:rPr>
                <w:rFonts w:ascii="Tahoma" w:eastAsia="Times New Roman" w:hAnsi="Tahoma" w:cs="Tahoma"/>
                <w:color w:val="000000"/>
                <w:sz w:val="16"/>
                <w:szCs w:val="16"/>
                <w:lang w:eastAsia="en-AU"/>
              </w:rPr>
              <w:t>NA</w:t>
            </w:r>
          </w:p>
        </w:tc>
        <w:tc>
          <w:tcPr>
            <w:tcW w:w="1417" w:type="dxa"/>
            <w:tcBorders>
              <w:top w:val="single" w:sz="4" w:space="0" w:color="FFFFFF"/>
              <w:left w:val="single" w:sz="4" w:space="0" w:color="FFFFFF"/>
              <w:bottom w:val="single" w:sz="4" w:space="0" w:color="FFFFFF"/>
              <w:right w:val="nil"/>
            </w:tcBorders>
            <w:shd w:val="clear" w:color="auto" w:fill="D99594" w:themeFill="accent2" w:themeFillTint="99"/>
            <w:noWrap/>
            <w:vAlign w:val="bottom"/>
            <w:hideMark/>
          </w:tcPr>
          <w:p w14:paraId="6CE33F8E" w14:textId="7751FE7B" w:rsidR="00A45147" w:rsidRPr="00A45147" w:rsidRDefault="007D7A77" w:rsidP="007D7A77">
            <w:pPr>
              <w:spacing w:after="0" w:line="240" w:lineRule="auto"/>
              <w:rPr>
                <w:rFonts w:ascii="Tahoma" w:eastAsia="Times New Roman" w:hAnsi="Tahoma" w:cs="Tahoma"/>
                <w:color w:val="000000"/>
                <w:sz w:val="16"/>
                <w:szCs w:val="16"/>
                <w:lang w:eastAsia="en-AU"/>
              </w:rPr>
            </w:pPr>
            <w:r>
              <w:rPr>
                <w:rFonts w:ascii="Tahoma" w:eastAsia="Times New Roman" w:hAnsi="Tahoma" w:cs="Tahoma"/>
                <w:color w:val="000000"/>
                <w:sz w:val="16"/>
                <w:szCs w:val="16"/>
                <w:lang w:eastAsia="en-AU"/>
              </w:rPr>
              <w:t>NA</w:t>
            </w:r>
          </w:p>
        </w:tc>
      </w:tr>
      <w:tr w:rsidR="00A45147" w:rsidRPr="00A45147" w14:paraId="3F5C66EC" w14:textId="77777777" w:rsidTr="00A45147">
        <w:trPr>
          <w:trHeight w:val="225"/>
        </w:trPr>
        <w:tc>
          <w:tcPr>
            <w:tcW w:w="3119" w:type="dxa"/>
            <w:gridSpan w:val="2"/>
            <w:tcBorders>
              <w:top w:val="single" w:sz="4" w:space="0" w:color="FFFFFF"/>
              <w:left w:val="nil"/>
              <w:bottom w:val="single" w:sz="4" w:space="0" w:color="FFFFFF"/>
              <w:right w:val="single" w:sz="4" w:space="0" w:color="FFFFFF"/>
            </w:tcBorders>
            <w:shd w:val="clear" w:color="auto" w:fill="F2DBDB" w:themeFill="accent2" w:themeFillTint="33"/>
            <w:noWrap/>
            <w:vAlign w:val="bottom"/>
            <w:hideMark/>
          </w:tcPr>
          <w:p w14:paraId="4E89220D" w14:textId="1C411D32" w:rsidR="00A45147" w:rsidRPr="00A45147" w:rsidRDefault="007D7A77" w:rsidP="007D7A77">
            <w:pPr>
              <w:spacing w:after="0" w:line="240" w:lineRule="auto"/>
              <w:rPr>
                <w:rFonts w:ascii="Tahoma" w:eastAsia="Times New Roman" w:hAnsi="Tahoma" w:cs="Tahoma"/>
                <w:sz w:val="16"/>
                <w:szCs w:val="16"/>
                <w:lang w:eastAsia="en-AU"/>
              </w:rPr>
            </w:pPr>
            <w:r>
              <w:rPr>
                <w:rFonts w:ascii="Tahoma" w:eastAsia="Times New Roman" w:hAnsi="Tahoma" w:cs="Tahoma"/>
                <w:sz w:val="16"/>
                <w:szCs w:val="16"/>
                <w:lang w:eastAsia="en-AU"/>
              </w:rPr>
              <w:t>Incomes (a</w:t>
            </w:r>
            <w:r w:rsidR="00A45147" w:rsidRPr="00A45147">
              <w:rPr>
                <w:rFonts w:ascii="Tahoma" w:eastAsia="Times New Roman" w:hAnsi="Tahoma" w:cs="Tahoma"/>
                <w:sz w:val="16"/>
                <w:szCs w:val="16"/>
                <w:lang w:eastAsia="en-AU"/>
              </w:rPr>
              <w:t xml:space="preserve">verage weekly) </w:t>
            </w:r>
            <w:r w:rsidR="00A45147" w:rsidRPr="00A45147">
              <w:rPr>
                <w:rFonts w:ascii="Tahoma" w:eastAsia="Times New Roman" w:hAnsi="Tahoma" w:cs="Tahoma"/>
                <w:sz w:val="16"/>
                <w:szCs w:val="16"/>
                <w:vertAlign w:val="superscript"/>
                <w:lang w:eastAsia="en-AU"/>
              </w:rPr>
              <w:t>(d)</w:t>
            </w:r>
          </w:p>
        </w:tc>
        <w:tc>
          <w:tcPr>
            <w:tcW w:w="992" w:type="dxa"/>
            <w:gridSpan w:val="2"/>
            <w:tcBorders>
              <w:top w:val="single" w:sz="4" w:space="0" w:color="FFFFFF"/>
              <w:left w:val="single" w:sz="4" w:space="0" w:color="FFFFFF"/>
              <w:bottom w:val="single" w:sz="4" w:space="0" w:color="FFFFFF"/>
              <w:right w:val="single" w:sz="4" w:space="0" w:color="FFFFFF"/>
            </w:tcBorders>
            <w:shd w:val="clear" w:color="auto" w:fill="F2DBDB" w:themeFill="accent2" w:themeFillTint="33"/>
            <w:noWrap/>
            <w:vAlign w:val="bottom"/>
            <w:hideMark/>
          </w:tcPr>
          <w:p w14:paraId="7DEC2822" w14:textId="77777777" w:rsidR="00A45147" w:rsidRPr="00A45147" w:rsidRDefault="00A45147" w:rsidP="007D7A77">
            <w:pPr>
              <w:spacing w:after="0" w:line="240" w:lineRule="auto"/>
              <w:rPr>
                <w:rFonts w:ascii="Tahoma" w:eastAsia="Times New Roman" w:hAnsi="Tahoma" w:cs="Tahoma"/>
                <w:color w:val="000000"/>
                <w:sz w:val="16"/>
                <w:szCs w:val="16"/>
                <w:lang w:eastAsia="en-AU"/>
              </w:rPr>
            </w:pPr>
            <w:r w:rsidRPr="00A45147">
              <w:rPr>
                <w:rFonts w:ascii="Tahoma" w:eastAsia="Times New Roman" w:hAnsi="Tahoma" w:cs="Tahoma"/>
                <w:color w:val="000000"/>
                <w:sz w:val="16"/>
                <w:szCs w:val="16"/>
                <w:lang w:eastAsia="en-AU"/>
              </w:rPr>
              <w:t>$</w:t>
            </w:r>
          </w:p>
        </w:tc>
        <w:tc>
          <w:tcPr>
            <w:tcW w:w="993" w:type="dxa"/>
            <w:tcBorders>
              <w:top w:val="single" w:sz="4" w:space="0" w:color="FFFFFF"/>
              <w:left w:val="single" w:sz="4" w:space="0" w:color="FFFFFF"/>
              <w:bottom w:val="single" w:sz="4" w:space="0" w:color="FFFFFF"/>
              <w:right w:val="single" w:sz="4" w:space="0" w:color="FFFFFF"/>
            </w:tcBorders>
            <w:shd w:val="clear" w:color="auto" w:fill="F2DBDB" w:themeFill="accent2" w:themeFillTint="33"/>
            <w:noWrap/>
            <w:vAlign w:val="bottom"/>
            <w:hideMark/>
          </w:tcPr>
          <w:p w14:paraId="67CC9144" w14:textId="77777777" w:rsidR="00A45147" w:rsidRPr="00A45147" w:rsidRDefault="00A45147" w:rsidP="007D7A77">
            <w:pPr>
              <w:spacing w:after="0" w:line="240" w:lineRule="auto"/>
              <w:rPr>
                <w:rFonts w:ascii="Tahoma" w:eastAsia="Times New Roman" w:hAnsi="Tahoma" w:cs="Tahoma"/>
                <w:color w:val="000000"/>
                <w:sz w:val="16"/>
                <w:szCs w:val="16"/>
                <w:lang w:eastAsia="en-AU"/>
              </w:rPr>
            </w:pPr>
            <w:r w:rsidRPr="00A45147">
              <w:rPr>
                <w:rFonts w:ascii="Tahoma" w:eastAsia="Times New Roman" w:hAnsi="Tahoma" w:cs="Tahoma"/>
                <w:color w:val="000000"/>
                <w:sz w:val="16"/>
                <w:szCs w:val="16"/>
                <w:lang w:eastAsia="en-AU"/>
              </w:rPr>
              <w:t>2011</w:t>
            </w:r>
          </w:p>
        </w:tc>
        <w:tc>
          <w:tcPr>
            <w:tcW w:w="1025" w:type="dxa"/>
            <w:tcBorders>
              <w:top w:val="single" w:sz="4" w:space="0" w:color="FFFFFF"/>
              <w:left w:val="single" w:sz="4" w:space="0" w:color="FFFFFF"/>
              <w:bottom w:val="single" w:sz="4" w:space="0" w:color="FFFFFF"/>
              <w:right w:val="single" w:sz="4" w:space="0" w:color="FFFFFF"/>
            </w:tcBorders>
            <w:shd w:val="clear" w:color="auto" w:fill="F2DBDB" w:themeFill="accent2" w:themeFillTint="33"/>
            <w:noWrap/>
            <w:vAlign w:val="bottom"/>
            <w:hideMark/>
          </w:tcPr>
          <w:p w14:paraId="2DEDD3B7" w14:textId="77777777" w:rsidR="00A45147" w:rsidRPr="00A45147" w:rsidRDefault="00A45147" w:rsidP="007D7A77">
            <w:pPr>
              <w:spacing w:after="0" w:line="240" w:lineRule="auto"/>
              <w:rPr>
                <w:rFonts w:ascii="Tahoma" w:eastAsia="Times New Roman" w:hAnsi="Tahoma" w:cs="Tahoma"/>
                <w:color w:val="000000"/>
                <w:sz w:val="16"/>
                <w:szCs w:val="16"/>
                <w:lang w:eastAsia="en-AU"/>
              </w:rPr>
            </w:pPr>
            <w:r w:rsidRPr="00A45147">
              <w:rPr>
                <w:rFonts w:ascii="Tahoma" w:eastAsia="Times New Roman" w:hAnsi="Tahoma" w:cs="Tahoma"/>
                <w:color w:val="000000"/>
                <w:sz w:val="16"/>
                <w:szCs w:val="16"/>
                <w:lang w:eastAsia="en-AU"/>
              </w:rPr>
              <w:t>$933</w:t>
            </w:r>
          </w:p>
        </w:tc>
        <w:tc>
          <w:tcPr>
            <w:tcW w:w="1526" w:type="dxa"/>
            <w:gridSpan w:val="3"/>
            <w:tcBorders>
              <w:top w:val="single" w:sz="4" w:space="0" w:color="FFFFFF"/>
              <w:left w:val="single" w:sz="4" w:space="0" w:color="FFFFFF"/>
              <w:bottom w:val="single" w:sz="4" w:space="0" w:color="FFFFFF"/>
              <w:right w:val="single" w:sz="4" w:space="0" w:color="FFFFFF"/>
            </w:tcBorders>
            <w:shd w:val="clear" w:color="auto" w:fill="F2DBDB" w:themeFill="accent2" w:themeFillTint="33"/>
            <w:noWrap/>
            <w:vAlign w:val="bottom"/>
            <w:hideMark/>
          </w:tcPr>
          <w:p w14:paraId="17DFF08B" w14:textId="77777777" w:rsidR="00A45147" w:rsidRPr="00A45147" w:rsidRDefault="00A45147" w:rsidP="007D7A77">
            <w:pPr>
              <w:spacing w:after="0" w:line="240" w:lineRule="auto"/>
              <w:rPr>
                <w:rFonts w:ascii="Tahoma" w:eastAsia="Times New Roman" w:hAnsi="Tahoma" w:cs="Tahoma"/>
                <w:color w:val="000000"/>
                <w:sz w:val="16"/>
                <w:szCs w:val="16"/>
                <w:lang w:eastAsia="en-AU"/>
              </w:rPr>
            </w:pPr>
            <w:r w:rsidRPr="00A45147">
              <w:rPr>
                <w:rFonts w:ascii="Tahoma" w:eastAsia="Times New Roman" w:hAnsi="Tahoma" w:cs="Tahoma"/>
                <w:color w:val="000000"/>
                <w:sz w:val="16"/>
                <w:szCs w:val="16"/>
                <w:lang w:eastAsia="en-AU"/>
              </w:rPr>
              <w:t>21.6%</w:t>
            </w:r>
          </w:p>
        </w:tc>
        <w:tc>
          <w:tcPr>
            <w:tcW w:w="1276" w:type="dxa"/>
            <w:tcBorders>
              <w:top w:val="single" w:sz="4" w:space="0" w:color="FFFFFF"/>
              <w:left w:val="single" w:sz="4" w:space="0" w:color="FFFFFF"/>
              <w:bottom w:val="single" w:sz="4" w:space="0" w:color="FFFFFF"/>
              <w:right w:val="single" w:sz="4" w:space="0" w:color="FFFFFF"/>
            </w:tcBorders>
            <w:shd w:val="clear" w:color="auto" w:fill="F2DBDB" w:themeFill="accent2" w:themeFillTint="33"/>
            <w:noWrap/>
            <w:vAlign w:val="bottom"/>
            <w:hideMark/>
          </w:tcPr>
          <w:p w14:paraId="051BCEE7" w14:textId="77777777" w:rsidR="00A45147" w:rsidRPr="00A45147" w:rsidRDefault="00A45147" w:rsidP="007D7A77">
            <w:pPr>
              <w:spacing w:after="0" w:line="240" w:lineRule="auto"/>
              <w:rPr>
                <w:rFonts w:ascii="Tahoma" w:eastAsia="Times New Roman" w:hAnsi="Tahoma" w:cs="Tahoma"/>
                <w:color w:val="000000"/>
                <w:sz w:val="16"/>
                <w:szCs w:val="16"/>
                <w:lang w:eastAsia="en-AU"/>
              </w:rPr>
            </w:pPr>
            <w:r w:rsidRPr="00A45147">
              <w:rPr>
                <w:rFonts w:ascii="Tahoma" w:eastAsia="Times New Roman" w:hAnsi="Tahoma" w:cs="Tahoma"/>
                <w:color w:val="000000"/>
                <w:sz w:val="16"/>
                <w:szCs w:val="16"/>
                <w:lang w:eastAsia="en-AU"/>
              </w:rPr>
              <w:t>105.8%</w:t>
            </w:r>
          </w:p>
        </w:tc>
        <w:tc>
          <w:tcPr>
            <w:tcW w:w="1417" w:type="dxa"/>
            <w:tcBorders>
              <w:top w:val="single" w:sz="4" w:space="0" w:color="FFFFFF"/>
              <w:left w:val="single" w:sz="4" w:space="0" w:color="FFFFFF"/>
              <w:bottom w:val="single" w:sz="4" w:space="0" w:color="FFFFFF"/>
              <w:right w:val="nil"/>
            </w:tcBorders>
            <w:shd w:val="clear" w:color="auto" w:fill="F2DBDB" w:themeFill="accent2" w:themeFillTint="33"/>
            <w:noWrap/>
            <w:vAlign w:val="bottom"/>
            <w:hideMark/>
          </w:tcPr>
          <w:p w14:paraId="16DD358F" w14:textId="77777777" w:rsidR="00A45147" w:rsidRPr="00A45147" w:rsidRDefault="00A45147" w:rsidP="007D7A77">
            <w:pPr>
              <w:spacing w:after="0" w:line="240" w:lineRule="auto"/>
              <w:rPr>
                <w:rFonts w:ascii="Tahoma" w:eastAsia="Times New Roman" w:hAnsi="Tahoma" w:cs="Tahoma"/>
                <w:color w:val="000000"/>
                <w:sz w:val="16"/>
                <w:szCs w:val="16"/>
                <w:lang w:eastAsia="en-AU"/>
              </w:rPr>
            </w:pPr>
            <w:r w:rsidRPr="00A45147">
              <w:rPr>
                <w:rFonts w:ascii="Tahoma" w:eastAsia="Times New Roman" w:hAnsi="Tahoma" w:cs="Tahoma"/>
                <w:color w:val="000000"/>
                <w:sz w:val="16"/>
                <w:szCs w:val="16"/>
                <w:lang w:eastAsia="en-AU"/>
              </w:rPr>
              <w:t>123.3%</w:t>
            </w:r>
          </w:p>
        </w:tc>
      </w:tr>
      <w:tr w:rsidR="00A45147" w:rsidRPr="00A45147" w14:paraId="5ADB7ED8" w14:textId="77777777" w:rsidTr="00A45147">
        <w:trPr>
          <w:trHeight w:val="225"/>
        </w:trPr>
        <w:tc>
          <w:tcPr>
            <w:tcW w:w="3119" w:type="dxa"/>
            <w:gridSpan w:val="2"/>
            <w:tcBorders>
              <w:top w:val="single" w:sz="4" w:space="0" w:color="FFFFFF"/>
              <w:left w:val="nil"/>
              <w:bottom w:val="single" w:sz="4" w:space="0" w:color="FFFFFF"/>
              <w:right w:val="single" w:sz="4" w:space="0" w:color="FFFFFF"/>
            </w:tcBorders>
            <w:shd w:val="clear" w:color="auto" w:fill="D99594" w:themeFill="accent2" w:themeFillTint="99"/>
            <w:noWrap/>
            <w:vAlign w:val="bottom"/>
            <w:hideMark/>
          </w:tcPr>
          <w:p w14:paraId="56E53982" w14:textId="77777777" w:rsidR="00A45147" w:rsidRPr="00A45147" w:rsidRDefault="00A45147" w:rsidP="007D7A77">
            <w:pPr>
              <w:spacing w:after="0" w:line="240" w:lineRule="auto"/>
              <w:rPr>
                <w:rFonts w:ascii="Tahoma" w:eastAsia="Times New Roman" w:hAnsi="Tahoma" w:cs="Tahoma"/>
                <w:sz w:val="16"/>
                <w:szCs w:val="16"/>
                <w:lang w:eastAsia="en-AU"/>
              </w:rPr>
            </w:pPr>
            <w:r w:rsidRPr="00A45147">
              <w:rPr>
                <w:rFonts w:ascii="Tahoma" w:eastAsia="Times New Roman" w:hAnsi="Tahoma" w:cs="Tahoma"/>
                <w:sz w:val="16"/>
                <w:szCs w:val="16"/>
                <w:lang w:eastAsia="en-AU"/>
              </w:rPr>
              <w:t>Education</w:t>
            </w:r>
            <w:r w:rsidRPr="00A45147">
              <w:rPr>
                <w:rFonts w:ascii="Tahoma" w:eastAsia="Times New Roman" w:hAnsi="Tahoma" w:cs="Tahoma"/>
                <w:sz w:val="16"/>
                <w:szCs w:val="16"/>
                <w:vertAlign w:val="superscript"/>
                <w:lang w:eastAsia="en-AU"/>
              </w:rPr>
              <w:t xml:space="preserve"> (e)</w:t>
            </w:r>
          </w:p>
        </w:tc>
        <w:tc>
          <w:tcPr>
            <w:tcW w:w="992" w:type="dxa"/>
            <w:gridSpan w:val="2"/>
            <w:tcBorders>
              <w:top w:val="single" w:sz="4" w:space="0" w:color="FFFFFF"/>
              <w:left w:val="single" w:sz="4" w:space="0" w:color="FFFFFF"/>
              <w:bottom w:val="single" w:sz="4" w:space="0" w:color="FFFFFF"/>
              <w:right w:val="single" w:sz="4" w:space="0" w:color="FFFFFF"/>
            </w:tcBorders>
            <w:shd w:val="clear" w:color="auto" w:fill="D99594" w:themeFill="accent2" w:themeFillTint="99"/>
            <w:noWrap/>
            <w:vAlign w:val="bottom"/>
            <w:hideMark/>
          </w:tcPr>
          <w:p w14:paraId="32DC1EE6" w14:textId="77777777" w:rsidR="00A45147" w:rsidRPr="00A45147" w:rsidRDefault="00A45147" w:rsidP="007D7A77">
            <w:pPr>
              <w:spacing w:after="0" w:line="240" w:lineRule="auto"/>
              <w:rPr>
                <w:rFonts w:ascii="Tahoma" w:eastAsia="Times New Roman" w:hAnsi="Tahoma" w:cs="Tahoma"/>
                <w:color w:val="000000"/>
                <w:sz w:val="16"/>
                <w:szCs w:val="16"/>
                <w:lang w:eastAsia="en-AU"/>
              </w:rPr>
            </w:pPr>
            <w:r w:rsidRPr="00A45147">
              <w:rPr>
                <w:rFonts w:ascii="Tahoma" w:eastAsia="Times New Roman" w:hAnsi="Tahoma" w:cs="Tahoma"/>
                <w:color w:val="000000"/>
                <w:sz w:val="16"/>
                <w:szCs w:val="16"/>
                <w:lang w:eastAsia="en-AU"/>
              </w:rPr>
              <w:t>No.</w:t>
            </w:r>
          </w:p>
        </w:tc>
        <w:tc>
          <w:tcPr>
            <w:tcW w:w="993" w:type="dxa"/>
            <w:tcBorders>
              <w:top w:val="single" w:sz="4" w:space="0" w:color="FFFFFF"/>
              <w:left w:val="single" w:sz="4" w:space="0" w:color="FFFFFF"/>
              <w:bottom w:val="single" w:sz="4" w:space="0" w:color="FFFFFF"/>
              <w:right w:val="single" w:sz="4" w:space="0" w:color="FFFFFF"/>
            </w:tcBorders>
            <w:shd w:val="clear" w:color="auto" w:fill="D99594" w:themeFill="accent2" w:themeFillTint="99"/>
            <w:noWrap/>
            <w:vAlign w:val="bottom"/>
            <w:hideMark/>
          </w:tcPr>
          <w:p w14:paraId="419A1BE5" w14:textId="77777777" w:rsidR="00A45147" w:rsidRPr="00A45147" w:rsidRDefault="00A45147" w:rsidP="007D7A77">
            <w:pPr>
              <w:spacing w:after="0" w:line="240" w:lineRule="auto"/>
              <w:rPr>
                <w:rFonts w:ascii="Tahoma" w:eastAsia="Times New Roman" w:hAnsi="Tahoma" w:cs="Tahoma"/>
                <w:color w:val="000000"/>
                <w:sz w:val="16"/>
                <w:szCs w:val="16"/>
                <w:lang w:eastAsia="en-AU"/>
              </w:rPr>
            </w:pPr>
            <w:r w:rsidRPr="00A45147">
              <w:rPr>
                <w:rFonts w:ascii="Tahoma" w:eastAsia="Times New Roman" w:hAnsi="Tahoma" w:cs="Tahoma"/>
                <w:color w:val="000000"/>
                <w:sz w:val="16"/>
                <w:szCs w:val="16"/>
                <w:lang w:eastAsia="en-AU"/>
              </w:rPr>
              <w:t>2011</w:t>
            </w:r>
          </w:p>
        </w:tc>
        <w:tc>
          <w:tcPr>
            <w:tcW w:w="1025" w:type="dxa"/>
            <w:tcBorders>
              <w:top w:val="single" w:sz="4" w:space="0" w:color="FFFFFF"/>
              <w:left w:val="single" w:sz="4" w:space="0" w:color="FFFFFF"/>
              <w:bottom w:val="single" w:sz="4" w:space="0" w:color="FFFFFF"/>
              <w:right w:val="single" w:sz="4" w:space="0" w:color="FFFFFF"/>
            </w:tcBorders>
            <w:shd w:val="clear" w:color="auto" w:fill="D99594" w:themeFill="accent2" w:themeFillTint="99"/>
            <w:noWrap/>
            <w:vAlign w:val="bottom"/>
            <w:hideMark/>
          </w:tcPr>
          <w:p w14:paraId="502CFED3" w14:textId="13DFC4DD" w:rsidR="00A45147" w:rsidRPr="00A45147" w:rsidRDefault="007D7A77" w:rsidP="007D7A77">
            <w:pPr>
              <w:spacing w:after="0" w:line="240" w:lineRule="auto"/>
              <w:rPr>
                <w:rFonts w:ascii="Tahoma" w:eastAsia="Times New Roman" w:hAnsi="Tahoma" w:cs="Tahoma"/>
                <w:color w:val="000000"/>
                <w:sz w:val="16"/>
                <w:szCs w:val="16"/>
                <w:lang w:eastAsia="en-AU"/>
              </w:rPr>
            </w:pPr>
            <w:r>
              <w:rPr>
                <w:rFonts w:ascii="Tahoma" w:eastAsia="Times New Roman" w:hAnsi="Tahoma" w:cs="Tahoma"/>
                <w:color w:val="000000"/>
                <w:sz w:val="16"/>
                <w:szCs w:val="16"/>
                <w:lang w:eastAsia="en-AU"/>
              </w:rPr>
              <w:t xml:space="preserve">4 </w:t>
            </w:r>
            <w:r w:rsidR="00A45147" w:rsidRPr="00A45147">
              <w:rPr>
                <w:rFonts w:ascii="Tahoma" w:eastAsia="Times New Roman" w:hAnsi="Tahoma" w:cs="Tahoma"/>
                <w:color w:val="000000"/>
                <w:sz w:val="16"/>
                <w:szCs w:val="16"/>
                <w:lang w:eastAsia="en-AU"/>
              </w:rPr>
              <w:t>077</w:t>
            </w:r>
          </w:p>
        </w:tc>
        <w:tc>
          <w:tcPr>
            <w:tcW w:w="1526" w:type="dxa"/>
            <w:gridSpan w:val="3"/>
            <w:tcBorders>
              <w:top w:val="single" w:sz="4" w:space="0" w:color="FFFFFF"/>
              <w:left w:val="single" w:sz="4" w:space="0" w:color="FFFFFF"/>
              <w:bottom w:val="single" w:sz="4" w:space="0" w:color="FFFFFF"/>
              <w:right w:val="single" w:sz="4" w:space="0" w:color="FFFFFF"/>
            </w:tcBorders>
            <w:shd w:val="clear" w:color="auto" w:fill="D99594" w:themeFill="accent2" w:themeFillTint="99"/>
            <w:noWrap/>
            <w:vAlign w:val="bottom"/>
            <w:hideMark/>
          </w:tcPr>
          <w:p w14:paraId="6938CE4D" w14:textId="1EECD4C1" w:rsidR="00A45147" w:rsidRPr="00A45147" w:rsidRDefault="007D7A77" w:rsidP="007D7A77">
            <w:pPr>
              <w:spacing w:after="0" w:line="240" w:lineRule="auto"/>
              <w:rPr>
                <w:rFonts w:ascii="Tahoma" w:eastAsia="Times New Roman" w:hAnsi="Tahoma" w:cs="Tahoma"/>
                <w:color w:val="000000"/>
                <w:sz w:val="16"/>
                <w:szCs w:val="16"/>
                <w:lang w:eastAsia="en-AU"/>
              </w:rPr>
            </w:pPr>
            <w:r>
              <w:rPr>
                <w:rFonts w:ascii="Tahoma" w:eastAsia="Times New Roman" w:hAnsi="Tahoma" w:cs="Tahoma"/>
                <w:color w:val="000000"/>
                <w:sz w:val="16"/>
                <w:szCs w:val="16"/>
                <w:lang w:eastAsia="en-AU"/>
              </w:rPr>
              <w:t>NA</w:t>
            </w:r>
          </w:p>
        </w:tc>
        <w:tc>
          <w:tcPr>
            <w:tcW w:w="1276" w:type="dxa"/>
            <w:tcBorders>
              <w:top w:val="single" w:sz="4" w:space="0" w:color="FFFFFF"/>
              <w:left w:val="single" w:sz="4" w:space="0" w:color="FFFFFF"/>
              <w:bottom w:val="single" w:sz="4" w:space="0" w:color="FFFFFF"/>
              <w:right w:val="single" w:sz="4" w:space="0" w:color="FFFFFF"/>
            </w:tcBorders>
            <w:shd w:val="clear" w:color="auto" w:fill="D99594" w:themeFill="accent2" w:themeFillTint="99"/>
            <w:noWrap/>
            <w:vAlign w:val="bottom"/>
            <w:hideMark/>
          </w:tcPr>
          <w:p w14:paraId="434F3E28" w14:textId="77777777" w:rsidR="00A45147" w:rsidRPr="00A45147" w:rsidRDefault="00A45147" w:rsidP="007D7A77">
            <w:pPr>
              <w:spacing w:after="0" w:line="240" w:lineRule="auto"/>
              <w:rPr>
                <w:rFonts w:ascii="Tahoma" w:eastAsia="Times New Roman" w:hAnsi="Tahoma" w:cs="Tahoma"/>
                <w:color w:val="000000"/>
                <w:sz w:val="16"/>
                <w:szCs w:val="16"/>
                <w:lang w:eastAsia="en-AU"/>
              </w:rPr>
            </w:pPr>
            <w:r w:rsidRPr="00A45147">
              <w:rPr>
                <w:rFonts w:ascii="Tahoma" w:eastAsia="Times New Roman" w:hAnsi="Tahoma" w:cs="Tahoma"/>
                <w:color w:val="000000"/>
                <w:sz w:val="16"/>
                <w:szCs w:val="16"/>
                <w:lang w:eastAsia="en-AU"/>
              </w:rPr>
              <w:t>25.3%</w:t>
            </w:r>
          </w:p>
        </w:tc>
        <w:tc>
          <w:tcPr>
            <w:tcW w:w="1417" w:type="dxa"/>
            <w:tcBorders>
              <w:top w:val="single" w:sz="4" w:space="0" w:color="FFFFFF"/>
              <w:left w:val="single" w:sz="4" w:space="0" w:color="FFFFFF"/>
              <w:bottom w:val="single" w:sz="4" w:space="0" w:color="FFFFFF"/>
              <w:right w:val="nil"/>
            </w:tcBorders>
            <w:shd w:val="clear" w:color="auto" w:fill="D99594" w:themeFill="accent2" w:themeFillTint="99"/>
            <w:noWrap/>
            <w:vAlign w:val="bottom"/>
            <w:hideMark/>
          </w:tcPr>
          <w:p w14:paraId="52106ABC" w14:textId="77777777" w:rsidR="00A45147" w:rsidRPr="00A45147" w:rsidRDefault="00A45147" w:rsidP="007D7A77">
            <w:pPr>
              <w:spacing w:after="0" w:line="240" w:lineRule="auto"/>
              <w:rPr>
                <w:rFonts w:ascii="Tahoma" w:eastAsia="Times New Roman" w:hAnsi="Tahoma" w:cs="Tahoma"/>
                <w:color w:val="000000"/>
                <w:sz w:val="16"/>
                <w:szCs w:val="16"/>
                <w:lang w:eastAsia="en-AU"/>
              </w:rPr>
            </w:pPr>
            <w:r w:rsidRPr="00A45147">
              <w:rPr>
                <w:rFonts w:ascii="Tahoma" w:eastAsia="Times New Roman" w:hAnsi="Tahoma" w:cs="Tahoma"/>
                <w:color w:val="000000"/>
                <w:sz w:val="16"/>
                <w:szCs w:val="16"/>
                <w:lang w:eastAsia="en-AU"/>
              </w:rPr>
              <w:t>42.5%</w:t>
            </w:r>
          </w:p>
        </w:tc>
      </w:tr>
      <w:tr w:rsidR="00A45147" w:rsidRPr="00A45147" w14:paraId="11249B82" w14:textId="77777777" w:rsidTr="00A45147">
        <w:trPr>
          <w:trHeight w:val="225"/>
        </w:trPr>
        <w:tc>
          <w:tcPr>
            <w:tcW w:w="3119" w:type="dxa"/>
            <w:gridSpan w:val="2"/>
            <w:tcBorders>
              <w:top w:val="single" w:sz="4" w:space="0" w:color="FFFFFF"/>
              <w:left w:val="nil"/>
              <w:bottom w:val="nil"/>
              <w:right w:val="single" w:sz="4" w:space="0" w:color="FFFFFF"/>
            </w:tcBorders>
            <w:shd w:val="clear" w:color="auto" w:fill="F2DBDB" w:themeFill="accent2" w:themeFillTint="33"/>
            <w:noWrap/>
            <w:vAlign w:val="bottom"/>
            <w:hideMark/>
          </w:tcPr>
          <w:p w14:paraId="319E086D" w14:textId="77777777" w:rsidR="00A45147" w:rsidRPr="00A45147" w:rsidRDefault="00A45147" w:rsidP="007D7A77">
            <w:pPr>
              <w:spacing w:after="0" w:line="240" w:lineRule="auto"/>
              <w:rPr>
                <w:rFonts w:ascii="Tahoma" w:eastAsia="Times New Roman" w:hAnsi="Tahoma" w:cs="Tahoma"/>
                <w:sz w:val="16"/>
                <w:szCs w:val="16"/>
                <w:lang w:eastAsia="en-AU"/>
              </w:rPr>
            </w:pPr>
            <w:r w:rsidRPr="00A45147">
              <w:rPr>
                <w:rFonts w:ascii="Tahoma" w:eastAsia="Times New Roman" w:hAnsi="Tahoma" w:cs="Tahoma"/>
                <w:sz w:val="16"/>
                <w:szCs w:val="16"/>
                <w:lang w:eastAsia="en-AU"/>
              </w:rPr>
              <w:t xml:space="preserve">Employment (proportion full/part) </w:t>
            </w:r>
            <w:r w:rsidRPr="00A45147">
              <w:rPr>
                <w:rFonts w:ascii="Tahoma" w:eastAsia="Times New Roman" w:hAnsi="Tahoma" w:cs="Tahoma"/>
                <w:sz w:val="16"/>
                <w:szCs w:val="16"/>
                <w:vertAlign w:val="superscript"/>
                <w:lang w:eastAsia="en-AU"/>
              </w:rPr>
              <w:t xml:space="preserve"> (f)</w:t>
            </w:r>
          </w:p>
        </w:tc>
        <w:tc>
          <w:tcPr>
            <w:tcW w:w="992" w:type="dxa"/>
            <w:gridSpan w:val="2"/>
            <w:tcBorders>
              <w:top w:val="single" w:sz="4" w:space="0" w:color="FFFFFF"/>
              <w:left w:val="single" w:sz="4" w:space="0" w:color="FFFFFF"/>
              <w:bottom w:val="nil"/>
              <w:right w:val="single" w:sz="4" w:space="0" w:color="FFFFFF"/>
            </w:tcBorders>
            <w:shd w:val="clear" w:color="auto" w:fill="F2DBDB" w:themeFill="accent2" w:themeFillTint="33"/>
            <w:noWrap/>
            <w:vAlign w:val="bottom"/>
            <w:hideMark/>
          </w:tcPr>
          <w:p w14:paraId="16B5FCEA" w14:textId="77777777" w:rsidR="00A45147" w:rsidRPr="00A45147" w:rsidRDefault="00A45147" w:rsidP="007D7A77">
            <w:pPr>
              <w:spacing w:after="0" w:line="240" w:lineRule="auto"/>
              <w:rPr>
                <w:rFonts w:ascii="Tahoma" w:eastAsia="Times New Roman" w:hAnsi="Tahoma" w:cs="Tahoma"/>
                <w:color w:val="000000"/>
                <w:sz w:val="16"/>
                <w:szCs w:val="16"/>
                <w:lang w:eastAsia="en-AU"/>
              </w:rPr>
            </w:pPr>
            <w:r w:rsidRPr="00A45147">
              <w:rPr>
                <w:rFonts w:ascii="Tahoma" w:eastAsia="Times New Roman" w:hAnsi="Tahoma" w:cs="Tahoma"/>
                <w:color w:val="000000"/>
                <w:sz w:val="16"/>
                <w:szCs w:val="16"/>
                <w:lang w:eastAsia="en-AU"/>
              </w:rPr>
              <w:t>Type</w:t>
            </w:r>
          </w:p>
        </w:tc>
        <w:tc>
          <w:tcPr>
            <w:tcW w:w="993" w:type="dxa"/>
            <w:tcBorders>
              <w:top w:val="single" w:sz="4" w:space="0" w:color="FFFFFF"/>
              <w:left w:val="single" w:sz="4" w:space="0" w:color="FFFFFF"/>
              <w:bottom w:val="nil"/>
              <w:right w:val="single" w:sz="4" w:space="0" w:color="FFFFFF"/>
            </w:tcBorders>
            <w:shd w:val="clear" w:color="auto" w:fill="F2DBDB" w:themeFill="accent2" w:themeFillTint="33"/>
            <w:noWrap/>
            <w:vAlign w:val="bottom"/>
            <w:hideMark/>
          </w:tcPr>
          <w:p w14:paraId="5EB46324" w14:textId="77777777" w:rsidR="00A45147" w:rsidRPr="00A45147" w:rsidRDefault="00A45147" w:rsidP="007D7A77">
            <w:pPr>
              <w:spacing w:after="0" w:line="240" w:lineRule="auto"/>
              <w:rPr>
                <w:rFonts w:ascii="Tahoma" w:eastAsia="Times New Roman" w:hAnsi="Tahoma" w:cs="Tahoma"/>
                <w:color w:val="000000"/>
                <w:sz w:val="16"/>
                <w:szCs w:val="16"/>
                <w:lang w:eastAsia="en-AU"/>
              </w:rPr>
            </w:pPr>
            <w:r w:rsidRPr="00A45147">
              <w:rPr>
                <w:rFonts w:ascii="Tahoma" w:eastAsia="Times New Roman" w:hAnsi="Tahoma" w:cs="Tahoma"/>
                <w:color w:val="000000"/>
                <w:sz w:val="16"/>
                <w:szCs w:val="16"/>
                <w:lang w:eastAsia="en-AU"/>
              </w:rPr>
              <w:t>2011</w:t>
            </w:r>
          </w:p>
        </w:tc>
        <w:tc>
          <w:tcPr>
            <w:tcW w:w="1025" w:type="dxa"/>
            <w:tcBorders>
              <w:top w:val="single" w:sz="4" w:space="0" w:color="FFFFFF"/>
              <w:left w:val="single" w:sz="4" w:space="0" w:color="FFFFFF"/>
              <w:bottom w:val="nil"/>
              <w:right w:val="single" w:sz="4" w:space="0" w:color="FFFFFF"/>
            </w:tcBorders>
            <w:shd w:val="clear" w:color="auto" w:fill="F2DBDB" w:themeFill="accent2" w:themeFillTint="33"/>
            <w:noWrap/>
            <w:vAlign w:val="bottom"/>
            <w:hideMark/>
          </w:tcPr>
          <w:p w14:paraId="494C3684" w14:textId="18429A3D" w:rsidR="00A45147" w:rsidRPr="00A45147" w:rsidRDefault="007D7A77" w:rsidP="007D7A77">
            <w:pPr>
              <w:spacing w:after="0" w:line="240" w:lineRule="auto"/>
              <w:rPr>
                <w:rFonts w:ascii="Tahoma" w:eastAsia="Times New Roman" w:hAnsi="Tahoma" w:cs="Tahoma"/>
                <w:color w:val="000000"/>
                <w:sz w:val="16"/>
                <w:szCs w:val="16"/>
                <w:lang w:eastAsia="en-AU"/>
              </w:rPr>
            </w:pPr>
            <w:r>
              <w:rPr>
                <w:rFonts w:ascii="Tahoma" w:eastAsia="Times New Roman" w:hAnsi="Tahoma" w:cs="Tahoma"/>
                <w:color w:val="000000"/>
                <w:sz w:val="16"/>
                <w:szCs w:val="16"/>
                <w:lang w:eastAsia="en-AU"/>
              </w:rPr>
              <w:t>Full-t</w:t>
            </w:r>
            <w:r w:rsidR="00A45147" w:rsidRPr="00A45147">
              <w:rPr>
                <w:rFonts w:ascii="Tahoma" w:eastAsia="Times New Roman" w:hAnsi="Tahoma" w:cs="Tahoma"/>
                <w:color w:val="000000"/>
                <w:sz w:val="16"/>
                <w:szCs w:val="16"/>
                <w:lang w:eastAsia="en-AU"/>
              </w:rPr>
              <w:t>ime</w:t>
            </w:r>
          </w:p>
        </w:tc>
        <w:tc>
          <w:tcPr>
            <w:tcW w:w="1526" w:type="dxa"/>
            <w:gridSpan w:val="3"/>
            <w:tcBorders>
              <w:top w:val="single" w:sz="4" w:space="0" w:color="FFFFFF"/>
              <w:left w:val="single" w:sz="4" w:space="0" w:color="FFFFFF"/>
              <w:bottom w:val="nil"/>
              <w:right w:val="single" w:sz="4" w:space="0" w:color="FFFFFF"/>
            </w:tcBorders>
            <w:shd w:val="clear" w:color="auto" w:fill="F2DBDB" w:themeFill="accent2" w:themeFillTint="33"/>
            <w:noWrap/>
            <w:vAlign w:val="bottom"/>
            <w:hideMark/>
          </w:tcPr>
          <w:p w14:paraId="0BD44903" w14:textId="5B543B44" w:rsidR="00A45147" w:rsidRPr="00A45147" w:rsidRDefault="007D7A77" w:rsidP="007D7A77">
            <w:pPr>
              <w:spacing w:after="0" w:line="240" w:lineRule="auto"/>
              <w:rPr>
                <w:rFonts w:ascii="Tahoma" w:eastAsia="Times New Roman" w:hAnsi="Tahoma" w:cs="Tahoma"/>
                <w:color w:val="000000"/>
                <w:sz w:val="16"/>
                <w:szCs w:val="16"/>
                <w:lang w:eastAsia="en-AU"/>
              </w:rPr>
            </w:pPr>
            <w:r>
              <w:rPr>
                <w:rFonts w:ascii="Tahoma" w:eastAsia="Times New Roman" w:hAnsi="Tahoma" w:cs="Tahoma"/>
                <w:color w:val="000000"/>
                <w:sz w:val="16"/>
                <w:szCs w:val="16"/>
                <w:lang w:eastAsia="en-AU"/>
              </w:rPr>
              <w:t>NA</w:t>
            </w:r>
          </w:p>
        </w:tc>
        <w:tc>
          <w:tcPr>
            <w:tcW w:w="1276" w:type="dxa"/>
            <w:tcBorders>
              <w:top w:val="single" w:sz="4" w:space="0" w:color="FFFFFF"/>
              <w:left w:val="single" w:sz="4" w:space="0" w:color="FFFFFF"/>
              <w:bottom w:val="nil"/>
              <w:right w:val="single" w:sz="4" w:space="0" w:color="FFFFFF"/>
            </w:tcBorders>
            <w:shd w:val="clear" w:color="auto" w:fill="F2DBDB" w:themeFill="accent2" w:themeFillTint="33"/>
            <w:noWrap/>
            <w:vAlign w:val="bottom"/>
            <w:hideMark/>
          </w:tcPr>
          <w:p w14:paraId="6A01B082" w14:textId="77777777" w:rsidR="00A45147" w:rsidRPr="00A45147" w:rsidRDefault="00A45147" w:rsidP="007D7A77">
            <w:pPr>
              <w:spacing w:after="0" w:line="240" w:lineRule="auto"/>
              <w:rPr>
                <w:rFonts w:ascii="Tahoma" w:eastAsia="Times New Roman" w:hAnsi="Tahoma" w:cs="Tahoma"/>
                <w:color w:val="000000"/>
                <w:sz w:val="16"/>
                <w:szCs w:val="16"/>
                <w:lang w:eastAsia="en-AU"/>
              </w:rPr>
            </w:pPr>
            <w:r w:rsidRPr="00A45147">
              <w:rPr>
                <w:rFonts w:ascii="Tahoma" w:eastAsia="Times New Roman" w:hAnsi="Tahoma" w:cs="Tahoma"/>
                <w:color w:val="000000"/>
                <w:sz w:val="16"/>
                <w:szCs w:val="16"/>
                <w:lang w:eastAsia="en-AU"/>
              </w:rPr>
              <w:t>78.6%</w:t>
            </w:r>
          </w:p>
        </w:tc>
        <w:tc>
          <w:tcPr>
            <w:tcW w:w="1417" w:type="dxa"/>
            <w:tcBorders>
              <w:top w:val="single" w:sz="4" w:space="0" w:color="FFFFFF"/>
              <w:left w:val="single" w:sz="4" w:space="0" w:color="FFFFFF"/>
              <w:bottom w:val="nil"/>
              <w:right w:val="nil"/>
            </w:tcBorders>
            <w:shd w:val="clear" w:color="auto" w:fill="F2DBDB" w:themeFill="accent2" w:themeFillTint="33"/>
            <w:noWrap/>
            <w:vAlign w:val="bottom"/>
            <w:hideMark/>
          </w:tcPr>
          <w:p w14:paraId="5DDD62D0" w14:textId="77777777" w:rsidR="00A45147" w:rsidRPr="00A45147" w:rsidRDefault="00A45147" w:rsidP="007D7A77">
            <w:pPr>
              <w:spacing w:after="0" w:line="240" w:lineRule="auto"/>
              <w:rPr>
                <w:rFonts w:ascii="Tahoma" w:eastAsia="Times New Roman" w:hAnsi="Tahoma" w:cs="Tahoma"/>
                <w:color w:val="000000"/>
                <w:sz w:val="16"/>
                <w:szCs w:val="16"/>
                <w:lang w:eastAsia="en-AU"/>
              </w:rPr>
            </w:pPr>
            <w:r w:rsidRPr="00A45147">
              <w:rPr>
                <w:rFonts w:ascii="Tahoma" w:eastAsia="Times New Roman" w:hAnsi="Tahoma" w:cs="Tahoma"/>
                <w:color w:val="000000"/>
                <w:sz w:val="16"/>
                <w:szCs w:val="16"/>
                <w:lang w:eastAsia="en-AU"/>
              </w:rPr>
              <w:t>81.1%</w:t>
            </w:r>
          </w:p>
        </w:tc>
      </w:tr>
      <w:tr w:rsidR="00A45147" w:rsidRPr="00A45147" w14:paraId="0272E9EF" w14:textId="77777777" w:rsidTr="007D7A77">
        <w:trPr>
          <w:trHeight w:val="210"/>
        </w:trPr>
        <w:tc>
          <w:tcPr>
            <w:tcW w:w="4111" w:type="dxa"/>
            <w:gridSpan w:val="4"/>
            <w:tcBorders>
              <w:top w:val="nil"/>
              <w:left w:val="nil"/>
              <w:bottom w:val="nil"/>
              <w:right w:val="nil"/>
            </w:tcBorders>
            <w:shd w:val="clear" w:color="auto" w:fill="auto"/>
            <w:noWrap/>
            <w:vAlign w:val="bottom"/>
          </w:tcPr>
          <w:p w14:paraId="446E8AD1" w14:textId="441CFC83" w:rsidR="00A45147" w:rsidRPr="00A45147" w:rsidRDefault="00A45147" w:rsidP="007D7A77">
            <w:pPr>
              <w:spacing w:after="0" w:line="240" w:lineRule="auto"/>
              <w:rPr>
                <w:rFonts w:ascii="Tahoma" w:eastAsia="Times New Roman" w:hAnsi="Tahoma" w:cs="Tahoma"/>
                <w:color w:val="000000"/>
                <w:sz w:val="14"/>
                <w:szCs w:val="14"/>
                <w:lang w:eastAsia="en-AU"/>
              </w:rPr>
            </w:pPr>
          </w:p>
        </w:tc>
        <w:tc>
          <w:tcPr>
            <w:tcW w:w="993" w:type="dxa"/>
            <w:tcBorders>
              <w:top w:val="nil"/>
              <w:left w:val="nil"/>
              <w:bottom w:val="nil"/>
              <w:right w:val="nil"/>
            </w:tcBorders>
            <w:shd w:val="clear" w:color="auto" w:fill="auto"/>
            <w:noWrap/>
            <w:vAlign w:val="bottom"/>
          </w:tcPr>
          <w:p w14:paraId="5FD03D6E" w14:textId="77777777" w:rsidR="00A45147" w:rsidRPr="00A45147" w:rsidRDefault="00A45147" w:rsidP="007D7A77">
            <w:pPr>
              <w:spacing w:after="0" w:line="240" w:lineRule="auto"/>
              <w:rPr>
                <w:rFonts w:ascii="Tahoma" w:eastAsia="Times New Roman" w:hAnsi="Tahoma" w:cs="Tahoma"/>
                <w:color w:val="000000"/>
                <w:sz w:val="16"/>
                <w:szCs w:val="16"/>
                <w:lang w:eastAsia="en-AU"/>
              </w:rPr>
            </w:pPr>
          </w:p>
        </w:tc>
        <w:tc>
          <w:tcPr>
            <w:tcW w:w="1025" w:type="dxa"/>
            <w:tcBorders>
              <w:top w:val="nil"/>
              <w:left w:val="nil"/>
              <w:bottom w:val="nil"/>
              <w:right w:val="nil"/>
            </w:tcBorders>
            <w:shd w:val="clear" w:color="auto" w:fill="auto"/>
            <w:noWrap/>
            <w:vAlign w:val="bottom"/>
          </w:tcPr>
          <w:p w14:paraId="52D18611" w14:textId="77777777" w:rsidR="00A45147" w:rsidRPr="00A45147" w:rsidRDefault="00A45147" w:rsidP="007D7A77">
            <w:pPr>
              <w:spacing w:after="0" w:line="240" w:lineRule="auto"/>
              <w:rPr>
                <w:rFonts w:ascii="Tahoma" w:eastAsia="Times New Roman" w:hAnsi="Tahoma" w:cs="Tahoma"/>
                <w:color w:val="000000"/>
                <w:sz w:val="16"/>
                <w:szCs w:val="16"/>
                <w:lang w:eastAsia="en-AU"/>
              </w:rPr>
            </w:pPr>
          </w:p>
        </w:tc>
        <w:tc>
          <w:tcPr>
            <w:tcW w:w="1526" w:type="dxa"/>
            <w:gridSpan w:val="3"/>
            <w:tcBorders>
              <w:top w:val="nil"/>
              <w:left w:val="nil"/>
              <w:bottom w:val="nil"/>
              <w:right w:val="nil"/>
            </w:tcBorders>
            <w:shd w:val="clear" w:color="auto" w:fill="auto"/>
            <w:noWrap/>
            <w:vAlign w:val="bottom"/>
          </w:tcPr>
          <w:p w14:paraId="4B112399" w14:textId="77777777" w:rsidR="00A45147" w:rsidRPr="00A45147" w:rsidRDefault="00A45147" w:rsidP="007D7A77">
            <w:pPr>
              <w:spacing w:after="0" w:line="240" w:lineRule="auto"/>
              <w:rPr>
                <w:rFonts w:ascii="Tahoma" w:eastAsia="Times New Roman" w:hAnsi="Tahoma" w:cs="Tahoma"/>
                <w:color w:val="000000"/>
                <w:sz w:val="16"/>
                <w:szCs w:val="16"/>
                <w:lang w:eastAsia="en-AU"/>
              </w:rPr>
            </w:pPr>
          </w:p>
        </w:tc>
        <w:tc>
          <w:tcPr>
            <w:tcW w:w="1276" w:type="dxa"/>
            <w:tcBorders>
              <w:top w:val="nil"/>
              <w:left w:val="nil"/>
              <w:bottom w:val="nil"/>
              <w:right w:val="nil"/>
            </w:tcBorders>
            <w:shd w:val="clear" w:color="auto" w:fill="auto"/>
            <w:noWrap/>
            <w:vAlign w:val="bottom"/>
          </w:tcPr>
          <w:p w14:paraId="6B8F9439" w14:textId="77777777" w:rsidR="00A45147" w:rsidRPr="00A45147" w:rsidRDefault="00A45147" w:rsidP="007D7A77">
            <w:pPr>
              <w:spacing w:after="0" w:line="240" w:lineRule="auto"/>
              <w:rPr>
                <w:rFonts w:ascii="Tahoma" w:eastAsia="Times New Roman" w:hAnsi="Tahoma" w:cs="Tahoma"/>
                <w:color w:val="000000"/>
                <w:sz w:val="16"/>
                <w:szCs w:val="16"/>
                <w:lang w:eastAsia="en-AU"/>
              </w:rPr>
            </w:pPr>
          </w:p>
        </w:tc>
        <w:tc>
          <w:tcPr>
            <w:tcW w:w="1417" w:type="dxa"/>
            <w:tcBorders>
              <w:top w:val="nil"/>
              <w:left w:val="nil"/>
              <w:bottom w:val="nil"/>
              <w:right w:val="nil"/>
            </w:tcBorders>
            <w:shd w:val="clear" w:color="auto" w:fill="auto"/>
            <w:noWrap/>
            <w:vAlign w:val="bottom"/>
          </w:tcPr>
          <w:p w14:paraId="7E364145" w14:textId="77777777" w:rsidR="00A45147" w:rsidRPr="00A45147" w:rsidRDefault="00A45147" w:rsidP="007D7A77">
            <w:pPr>
              <w:spacing w:after="0" w:line="240" w:lineRule="auto"/>
              <w:rPr>
                <w:rFonts w:ascii="Tahoma" w:eastAsia="Times New Roman" w:hAnsi="Tahoma" w:cs="Tahoma"/>
                <w:color w:val="000000"/>
                <w:sz w:val="16"/>
                <w:szCs w:val="16"/>
                <w:lang w:eastAsia="en-AU"/>
              </w:rPr>
            </w:pPr>
          </w:p>
        </w:tc>
      </w:tr>
    </w:tbl>
    <w:p w14:paraId="6FBB9294" w14:textId="255621D2" w:rsidR="007D7A77" w:rsidRPr="007D7A77" w:rsidRDefault="007D7A77" w:rsidP="007D7A77">
      <w:pPr>
        <w:spacing w:after="0" w:line="240" w:lineRule="auto"/>
        <w:ind w:left="-567"/>
        <w:rPr>
          <w:rFonts w:ascii="Gill Sans MT" w:eastAsia="Times New Roman" w:hAnsi="Gill Sans MT" w:cs="Tahoma"/>
          <w:sz w:val="16"/>
          <w:szCs w:val="16"/>
          <w:lang w:eastAsia="en-AU"/>
        </w:rPr>
      </w:pPr>
      <w:r w:rsidRPr="007D7A77">
        <w:rPr>
          <w:rFonts w:ascii="Gill Sans MT" w:eastAsia="Times New Roman" w:hAnsi="Gill Sans MT" w:cs="Tahoma"/>
          <w:color w:val="000000"/>
          <w:sz w:val="16"/>
          <w:szCs w:val="16"/>
          <w:lang w:eastAsia="en-AU"/>
        </w:rPr>
        <w:t xml:space="preserve">Sources: </w:t>
      </w:r>
      <w:r>
        <w:rPr>
          <w:rFonts w:ascii="Gill Sans MT" w:eastAsia="Times New Roman" w:hAnsi="Gill Sans MT" w:cs="Tahoma"/>
          <w:color w:val="000000"/>
          <w:sz w:val="16"/>
          <w:szCs w:val="16"/>
          <w:lang w:eastAsia="en-AU"/>
        </w:rPr>
        <w:t>Australian Bureau of Statistics (</w:t>
      </w:r>
      <w:r w:rsidRPr="007D7A77">
        <w:rPr>
          <w:rFonts w:ascii="Gill Sans MT" w:eastAsia="Times New Roman" w:hAnsi="Gill Sans MT" w:cs="Tahoma"/>
          <w:color w:val="000000"/>
          <w:sz w:val="16"/>
          <w:szCs w:val="16"/>
          <w:lang w:eastAsia="en-AU"/>
        </w:rPr>
        <w:t>ABS</w:t>
      </w:r>
      <w:r>
        <w:rPr>
          <w:rFonts w:ascii="Gill Sans MT" w:eastAsia="Times New Roman" w:hAnsi="Gill Sans MT" w:cs="Tahoma"/>
          <w:color w:val="000000"/>
          <w:sz w:val="16"/>
          <w:szCs w:val="16"/>
          <w:lang w:eastAsia="en-AU"/>
        </w:rPr>
        <w:t>)</w:t>
      </w:r>
      <w:r w:rsidRPr="007D7A77">
        <w:rPr>
          <w:rFonts w:ascii="Gill Sans MT" w:eastAsia="Times New Roman" w:hAnsi="Gill Sans MT" w:cs="Tahoma"/>
          <w:color w:val="000000"/>
          <w:sz w:val="16"/>
          <w:szCs w:val="16"/>
          <w:lang w:eastAsia="en-AU"/>
        </w:rPr>
        <w:t xml:space="preserve"> (2012, 2013), </w:t>
      </w:r>
      <w:r>
        <w:rPr>
          <w:rFonts w:ascii="Gill Sans MT" w:eastAsia="Times New Roman" w:hAnsi="Gill Sans MT" w:cs="Tahoma"/>
          <w:color w:val="000000"/>
          <w:sz w:val="16"/>
          <w:szCs w:val="16"/>
          <w:lang w:eastAsia="en-AU"/>
        </w:rPr>
        <w:t xml:space="preserve">Department of Economic Development, Tourism and the Arts </w:t>
      </w:r>
      <w:r w:rsidRPr="007D7A77">
        <w:rPr>
          <w:rFonts w:ascii="Gill Sans MT" w:eastAsia="Times New Roman" w:hAnsi="Gill Sans MT" w:cs="Tahoma"/>
          <w:color w:val="000000"/>
          <w:sz w:val="16"/>
          <w:szCs w:val="16"/>
          <w:lang w:eastAsia="en-AU"/>
        </w:rPr>
        <w:t>(2013),</w:t>
      </w:r>
      <w:r w:rsidR="00FD67EC">
        <w:rPr>
          <w:rFonts w:ascii="Gill Sans MT" w:eastAsia="Times New Roman" w:hAnsi="Gill Sans MT" w:cs="Tahoma"/>
          <w:color w:val="000000"/>
          <w:sz w:val="16"/>
          <w:szCs w:val="16"/>
          <w:lang w:eastAsia="en-AU"/>
        </w:rPr>
        <w:t xml:space="preserve"> </w:t>
      </w:r>
      <w:r w:rsidR="007305B1">
        <w:rPr>
          <w:rFonts w:ascii="Gill Sans MT" w:eastAsia="Times New Roman" w:hAnsi="Gill Sans MT" w:cs="Tahoma"/>
          <w:color w:val="000000"/>
          <w:sz w:val="16"/>
          <w:szCs w:val="16"/>
          <w:lang w:eastAsia="en-AU"/>
        </w:rPr>
        <w:t xml:space="preserve">Department of State Growth (2014), </w:t>
      </w:r>
      <w:r w:rsidRPr="007D7A77">
        <w:rPr>
          <w:rFonts w:ascii="Gill Sans MT" w:eastAsia="Times New Roman" w:hAnsi="Gill Sans MT" w:cs="Tahoma"/>
          <w:color w:val="000000"/>
          <w:sz w:val="16"/>
          <w:szCs w:val="16"/>
          <w:lang w:eastAsia="en-AU"/>
        </w:rPr>
        <w:t>AEC</w:t>
      </w:r>
      <w:r w:rsidR="00015F31">
        <w:rPr>
          <w:rFonts w:ascii="Gill Sans MT" w:eastAsia="Times New Roman" w:hAnsi="Gill Sans MT" w:cs="Tahoma"/>
          <w:color w:val="000000"/>
          <w:sz w:val="16"/>
          <w:szCs w:val="16"/>
          <w:lang w:eastAsia="en-AU"/>
        </w:rPr>
        <w:t xml:space="preserve"> G</w:t>
      </w:r>
      <w:r w:rsidRPr="007D7A77">
        <w:rPr>
          <w:rFonts w:ascii="Gill Sans MT" w:eastAsia="Times New Roman" w:hAnsi="Gill Sans MT" w:cs="Tahoma"/>
          <w:iCs/>
          <w:color w:val="000000"/>
          <w:sz w:val="16"/>
          <w:szCs w:val="16"/>
          <w:lang w:eastAsia="en-AU"/>
        </w:rPr>
        <w:t>roup</w:t>
      </w:r>
    </w:p>
    <w:p w14:paraId="33AAF833" w14:textId="4B32E9CF" w:rsidR="007D7A77" w:rsidRPr="007D7A77" w:rsidRDefault="007D7A77" w:rsidP="007D7A77">
      <w:pPr>
        <w:spacing w:after="0" w:line="240" w:lineRule="auto"/>
        <w:ind w:left="-567"/>
        <w:rPr>
          <w:rFonts w:ascii="Gill Sans MT" w:eastAsia="Times New Roman" w:hAnsi="Gill Sans MT" w:cs="Tahoma"/>
          <w:sz w:val="16"/>
          <w:szCs w:val="16"/>
          <w:lang w:eastAsia="en-AU"/>
        </w:rPr>
      </w:pPr>
      <w:r w:rsidRPr="007D7A77">
        <w:rPr>
          <w:rFonts w:ascii="Gill Sans MT" w:eastAsia="Times New Roman" w:hAnsi="Gill Sans MT" w:cs="Tahoma"/>
          <w:sz w:val="16"/>
          <w:szCs w:val="16"/>
          <w:lang w:eastAsia="en-AU"/>
        </w:rPr>
        <w:t>(a) Source AEC</w:t>
      </w:r>
      <w:r w:rsidR="00015F31">
        <w:rPr>
          <w:rFonts w:ascii="Gill Sans MT" w:eastAsia="Times New Roman" w:hAnsi="Gill Sans MT" w:cs="Tahoma"/>
          <w:sz w:val="16"/>
          <w:szCs w:val="16"/>
          <w:lang w:eastAsia="en-AU"/>
        </w:rPr>
        <w:t xml:space="preserve"> G</w:t>
      </w:r>
      <w:r w:rsidRPr="007D7A77">
        <w:rPr>
          <w:rFonts w:ascii="Gill Sans MT" w:eastAsia="Times New Roman" w:hAnsi="Gill Sans MT" w:cs="Tahoma"/>
          <w:sz w:val="16"/>
          <w:szCs w:val="16"/>
          <w:lang w:eastAsia="en-AU"/>
        </w:rPr>
        <w:t>roup</w:t>
      </w:r>
      <w:r>
        <w:rPr>
          <w:rFonts w:ascii="Gill Sans MT" w:eastAsia="Times New Roman" w:hAnsi="Gill Sans MT" w:cs="Tahoma"/>
          <w:sz w:val="16"/>
          <w:szCs w:val="16"/>
          <w:lang w:eastAsia="en-AU"/>
        </w:rPr>
        <w:t>. Industry value a</w:t>
      </w:r>
      <w:r w:rsidRPr="007D7A77">
        <w:rPr>
          <w:rFonts w:ascii="Gill Sans MT" w:eastAsia="Times New Roman" w:hAnsi="Gill Sans MT" w:cs="Tahoma"/>
          <w:sz w:val="16"/>
          <w:szCs w:val="16"/>
          <w:lang w:eastAsia="en-AU"/>
        </w:rPr>
        <w:t xml:space="preserve">dd </w:t>
      </w:r>
      <w:r>
        <w:rPr>
          <w:rFonts w:ascii="Gill Sans MT" w:eastAsia="Times New Roman" w:hAnsi="Gill Sans MT" w:cs="Tahoma"/>
          <w:sz w:val="16"/>
          <w:szCs w:val="16"/>
          <w:lang w:eastAsia="en-AU"/>
        </w:rPr>
        <w:t xml:space="preserve">(IVA) </w:t>
      </w:r>
      <w:r w:rsidRPr="007D7A77">
        <w:rPr>
          <w:rFonts w:ascii="Gill Sans MT" w:eastAsia="Times New Roman" w:hAnsi="Gill Sans MT" w:cs="Tahoma"/>
          <w:sz w:val="16"/>
          <w:szCs w:val="16"/>
          <w:lang w:eastAsia="en-AU"/>
        </w:rPr>
        <w:t>is a component of the ABS estimate of Gross State Product and measures the total value of goods and services produced by the sector less the value of inputs.</w:t>
      </w:r>
      <w:r w:rsidR="00FD67EC">
        <w:rPr>
          <w:rFonts w:ascii="Gill Sans MT" w:eastAsia="Times New Roman" w:hAnsi="Gill Sans MT" w:cs="Tahoma"/>
          <w:sz w:val="16"/>
          <w:szCs w:val="16"/>
          <w:lang w:eastAsia="en-AU"/>
        </w:rPr>
        <w:t xml:space="preserve"> </w:t>
      </w:r>
      <w:r>
        <w:rPr>
          <w:rFonts w:ascii="Gill Sans MT" w:eastAsia="Times New Roman" w:hAnsi="Gill Sans MT" w:cs="Tahoma"/>
          <w:sz w:val="16"/>
          <w:szCs w:val="16"/>
          <w:lang w:eastAsia="en-AU"/>
        </w:rPr>
        <w:t>Estimated change in IVA from five</w:t>
      </w:r>
      <w:r w:rsidRPr="007D7A77">
        <w:rPr>
          <w:rFonts w:ascii="Gill Sans MT" w:eastAsia="Times New Roman" w:hAnsi="Gill Sans MT" w:cs="Tahoma"/>
          <w:sz w:val="16"/>
          <w:szCs w:val="16"/>
          <w:lang w:eastAsia="en-AU"/>
        </w:rPr>
        <w:t xml:space="preserve"> years ago for a sector is heavily influenced</w:t>
      </w:r>
      <w:r>
        <w:rPr>
          <w:rFonts w:ascii="Gill Sans MT" w:eastAsia="Times New Roman" w:hAnsi="Gill Sans MT" w:cs="Tahoma"/>
          <w:sz w:val="16"/>
          <w:szCs w:val="16"/>
          <w:lang w:eastAsia="en-AU"/>
        </w:rPr>
        <w:t xml:space="preserve"> by change at the highest ‘ANZSIC Division 1’</w:t>
      </w:r>
      <w:r w:rsidRPr="007D7A77">
        <w:rPr>
          <w:rFonts w:ascii="Gill Sans MT" w:eastAsia="Times New Roman" w:hAnsi="Gill Sans MT" w:cs="Tahoma"/>
          <w:sz w:val="16"/>
          <w:szCs w:val="16"/>
          <w:lang w:eastAsia="en-AU"/>
        </w:rPr>
        <w:t xml:space="preserve"> level of industry aggregation and is not reported.   </w:t>
      </w:r>
    </w:p>
    <w:p w14:paraId="410086B5" w14:textId="0E5E44AB" w:rsidR="007D7A77" w:rsidRPr="007D7A77" w:rsidRDefault="007D7A77" w:rsidP="007D7A77">
      <w:pPr>
        <w:spacing w:after="0" w:line="240" w:lineRule="auto"/>
        <w:ind w:left="-567"/>
        <w:rPr>
          <w:rFonts w:ascii="Gill Sans MT" w:eastAsia="Times New Roman" w:hAnsi="Gill Sans MT" w:cs="Tahoma"/>
          <w:sz w:val="16"/>
          <w:szCs w:val="16"/>
          <w:lang w:eastAsia="en-AU"/>
        </w:rPr>
      </w:pPr>
      <w:r w:rsidRPr="007D7A77">
        <w:rPr>
          <w:rFonts w:ascii="Gill Sans MT" w:eastAsia="Times New Roman" w:hAnsi="Gill Sans MT" w:cs="Tahoma"/>
          <w:sz w:val="16"/>
          <w:szCs w:val="16"/>
          <w:lang w:eastAsia="en-AU"/>
        </w:rPr>
        <w:t xml:space="preserve">(b) </w:t>
      </w:r>
      <w:r w:rsidRPr="007D7A77">
        <w:rPr>
          <w:rFonts w:ascii="Gill Sans MT" w:eastAsia="Times New Roman" w:hAnsi="Gill Sans MT" w:cs="Tahoma"/>
          <w:i/>
          <w:sz w:val="16"/>
          <w:szCs w:val="16"/>
          <w:lang w:eastAsia="en-AU"/>
        </w:rPr>
        <w:t>2011 ABS Census</w:t>
      </w:r>
      <w:r w:rsidRPr="007D7A77">
        <w:rPr>
          <w:rFonts w:ascii="Gill Sans MT" w:eastAsia="Times New Roman" w:hAnsi="Gill Sans MT" w:cs="Tahoma"/>
          <w:sz w:val="16"/>
          <w:szCs w:val="16"/>
          <w:lang w:eastAsia="en-AU"/>
        </w:rPr>
        <w:t>. AEC</w:t>
      </w:r>
      <w:r w:rsidR="00015F31">
        <w:rPr>
          <w:rFonts w:ascii="Gill Sans MT" w:eastAsia="Times New Roman" w:hAnsi="Gill Sans MT" w:cs="Tahoma"/>
          <w:sz w:val="16"/>
          <w:szCs w:val="16"/>
          <w:lang w:eastAsia="en-AU"/>
        </w:rPr>
        <w:t xml:space="preserve"> G</w:t>
      </w:r>
      <w:r w:rsidRPr="007D7A77">
        <w:rPr>
          <w:rFonts w:ascii="Gill Sans MT" w:eastAsia="Times New Roman" w:hAnsi="Gill Sans MT" w:cs="Tahoma"/>
          <w:sz w:val="16"/>
          <w:szCs w:val="16"/>
          <w:lang w:eastAsia="en-AU"/>
        </w:rPr>
        <w:t>roup considers this the most accurate estimate</w:t>
      </w:r>
      <w:r>
        <w:rPr>
          <w:rFonts w:ascii="Gill Sans MT" w:eastAsia="Times New Roman" w:hAnsi="Gill Sans MT" w:cs="Tahoma"/>
          <w:sz w:val="16"/>
          <w:szCs w:val="16"/>
          <w:lang w:eastAsia="en-AU"/>
        </w:rPr>
        <w:t xml:space="preserve"> of employment at the detailed four</w:t>
      </w:r>
      <w:r w:rsidRPr="007D7A77">
        <w:rPr>
          <w:rFonts w:ascii="Gill Sans MT" w:eastAsia="Times New Roman" w:hAnsi="Gill Sans MT" w:cs="Tahoma"/>
          <w:sz w:val="16"/>
          <w:szCs w:val="16"/>
          <w:lang w:eastAsia="en-AU"/>
        </w:rPr>
        <w:t xml:space="preserve"> digit ANZSIC level.</w:t>
      </w:r>
    </w:p>
    <w:p w14:paraId="4C3CA0D9" w14:textId="6980F433" w:rsidR="007D7A77" w:rsidRPr="007D7A77" w:rsidRDefault="007D7A77" w:rsidP="007D7A77">
      <w:pPr>
        <w:spacing w:after="0" w:line="240" w:lineRule="auto"/>
        <w:ind w:left="-567"/>
        <w:rPr>
          <w:rFonts w:ascii="Gill Sans MT" w:eastAsia="Times New Roman" w:hAnsi="Gill Sans MT" w:cs="Tahoma"/>
          <w:sz w:val="16"/>
          <w:szCs w:val="16"/>
          <w:lang w:eastAsia="en-AU"/>
        </w:rPr>
      </w:pPr>
      <w:r w:rsidRPr="007D7A77">
        <w:rPr>
          <w:rFonts w:ascii="Gill Sans MT" w:eastAsia="Times New Roman" w:hAnsi="Gill Sans MT" w:cs="Tahoma"/>
          <w:sz w:val="16"/>
          <w:szCs w:val="16"/>
          <w:lang w:eastAsia="en-AU"/>
        </w:rPr>
        <w:t xml:space="preserve">(c) </w:t>
      </w:r>
      <w:r w:rsidR="007305B1">
        <w:rPr>
          <w:rFonts w:ascii="Gill Sans MT" w:eastAsia="Times New Roman" w:hAnsi="Gill Sans MT" w:cs="Tahoma"/>
          <w:sz w:val="16"/>
          <w:szCs w:val="16"/>
          <w:lang w:eastAsia="en-AU"/>
        </w:rPr>
        <w:t>E</w:t>
      </w:r>
      <w:r w:rsidRPr="007D7A77">
        <w:rPr>
          <w:rFonts w:ascii="Gill Sans MT" w:eastAsia="Times New Roman" w:hAnsi="Gill Sans MT" w:cs="Tahoma"/>
          <w:sz w:val="16"/>
          <w:szCs w:val="16"/>
          <w:lang w:eastAsia="en-AU"/>
        </w:rPr>
        <w:t>stimates of international exports using ABS data.</w:t>
      </w:r>
    </w:p>
    <w:p w14:paraId="4CF38F88" w14:textId="44663F61" w:rsidR="007D7A77" w:rsidRPr="007D7A77" w:rsidRDefault="007D7A77" w:rsidP="007D7A77">
      <w:pPr>
        <w:spacing w:after="0" w:line="240" w:lineRule="auto"/>
        <w:ind w:left="-567"/>
        <w:rPr>
          <w:rFonts w:ascii="Gill Sans MT" w:eastAsia="Times New Roman" w:hAnsi="Gill Sans MT" w:cs="Tahoma"/>
          <w:sz w:val="16"/>
          <w:szCs w:val="16"/>
          <w:lang w:eastAsia="en-AU"/>
        </w:rPr>
      </w:pPr>
      <w:r w:rsidRPr="007D7A77">
        <w:rPr>
          <w:rFonts w:ascii="Gill Sans MT" w:eastAsia="Times New Roman" w:hAnsi="Gill Sans MT" w:cs="Tahoma"/>
          <w:sz w:val="16"/>
          <w:szCs w:val="16"/>
          <w:lang w:eastAsia="en-AU"/>
        </w:rPr>
        <w:t xml:space="preserve">(d) </w:t>
      </w:r>
      <w:r w:rsidR="006D1540" w:rsidRPr="006D1540">
        <w:rPr>
          <w:rFonts w:ascii="Gill Sans MT" w:eastAsia="Times New Roman" w:hAnsi="Gill Sans MT" w:cs="Tahoma"/>
          <w:i/>
          <w:sz w:val="16"/>
          <w:szCs w:val="16"/>
          <w:lang w:eastAsia="en-AU"/>
        </w:rPr>
        <w:t xml:space="preserve">2011 ABS Census. </w:t>
      </w:r>
      <w:r w:rsidR="006D1540" w:rsidRPr="006D1540">
        <w:rPr>
          <w:rFonts w:ascii="Gill Sans MT" w:eastAsia="Times New Roman" w:hAnsi="Gill Sans MT" w:cs="Tahoma"/>
          <w:sz w:val="16"/>
          <w:szCs w:val="16"/>
          <w:lang w:eastAsia="en-AU"/>
        </w:rPr>
        <w:t>This includes employment and non-employment related income (e.g. rents, dividends, interest, child support and government pensions and allowances). A percentage above 100 per cent of average weekly income suggests workers in this industry earn higher than the average wage.</w:t>
      </w:r>
    </w:p>
    <w:p w14:paraId="36D6210F" w14:textId="0B1DA88A" w:rsidR="007D7A77" w:rsidRPr="007D7A77" w:rsidRDefault="007D7A77" w:rsidP="007D7A77">
      <w:pPr>
        <w:spacing w:after="0" w:line="240" w:lineRule="auto"/>
        <w:ind w:left="-567"/>
        <w:rPr>
          <w:rFonts w:ascii="Gill Sans MT" w:eastAsia="Times New Roman" w:hAnsi="Gill Sans MT" w:cs="Tahoma"/>
          <w:sz w:val="16"/>
          <w:szCs w:val="16"/>
          <w:lang w:eastAsia="en-AU"/>
        </w:rPr>
      </w:pPr>
      <w:r w:rsidRPr="007D7A77">
        <w:rPr>
          <w:rFonts w:ascii="Gill Sans MT" w:eastAsia="Times New Roman" w:hAnsi="Gill Sans MT" w:cs="Tahoma"/>
          <w:sz w:val="16"/>
          <w:szCs w:val="16"/>
          <w:lang w:eastAsia="en-AU"/>
        </w:rPr>
        <w:t xml:space="preserve">(e) </w:t>
      </w:r>
      <w:r w:rsidRPr="007D7A77">
        <w:rPr>
          <w:rFonts w:ascii="Gill Sans MT" w:eastAsia="Times New Roman" w:hAnsi="Gill Sans MT" w:cs="Tahoma"/>
          <w:i/>
          <w:sz w:val="16"/>
          <w:szCs w:val="16"/>
          <w:lang w:eastAsia="en-AU"/>
        </w:rPr>
        <w:t>2011 ABS Census</w:t>
      </w:r>
      <w:r w:rsidRPr="007D7A77">
        <w:rPr>
          <w:rFonts w:ascii="Gill Sans MT" w:eastAsia="Times New Roman" w:hAnsi="Gill Sans MT" w:cs="Tahoma"/>
          <w:sz w:val="16"/>
          <w:szCs w:val="16"/>
          <w:lang w:eastAsia="en-AU"/>
        </w:rPr>
        <w:t>. Education measured by the number of employees who have completed Year 12 (or equivalent studies). Per</w:t>
      </w:r>
      <w:r>
        <w:rPr>
          <w:rFonts w:ascii="Gill Sans MT" w:eastAsia="Times New Roman" w:hAnsi="Gill Sans MT" w:cs="Tahoma"/>
          <w:sz w:val="16"/>
          <w:szCs w:val="16"/>
          <w:lang w:eastAsia="en-AU"/>
        </w:rPr>
        <w:t xml:space="preserve"> </w:t>
      </w:r>
      <w:r w:rsidRPr="007D7A77">
        <w:rPr>
          <w:rFonts w:ascii="Gill Sans MT" w:eastAsia="Times New Roman" w:hAnsi="Gill Sans MT" w:cs="Tahoma"/>
          <w:sz w:val="16"/>
          <w:szCs w:val="16"/>
          <w:lang w:eastAsia="en-AU"/>
        </w:rPr>
        <w:t xml:space="preserve">cent of Tasmania/Australia shows the proportion of workers in this sector who have attained this level of education. </w:t>
      </w:r>
    </w:p>
    <w:p w14:paraId="4FBF0F52" w14:textId="0BD7790C" w:rsidR="007D7A77" w:rsidRPr="007D7A77" w:rsidRDefault="007D7A77" w:rsidP="007D7A77">
      <w:pPr>
        <w:spacing w:after="0" w:line="240" w:lineRule="auto"/>
        <w:ind w:left="-567"/>
        <w:rPr>
          <w:rFonts w:ascii="Gill Sans MT" w:eastAsia="Times New Roman" w:hAnsi="Gill Sans MT" w:cs="Tahoma"/>
          <w:sz w:val="16"/>
          <w:szCs w:val="16"/>
          <w:lang w:eastAsia="en-AU"/>
        </w:rPr>
      </w:pPr>
      <w:r w:rsidRPr="00D074C8">
        <w:rPr>
          <w:rFonts w:ascii="Gill Sans MT" w:eastAsia="Times New Roman" w:hAnsi="Gill Sans MT" w:cs="Tahoma"/>
          <w:sz w:val="16"/>
          <w:szCs w:val="16"/>
          <w:lang w:eastAsia="en-AU"/>
        </w:rPr>
        <w:t>(f)</w:t>
      </w:r>
      <w:r w:rsidRPr="007D7A77">
        <w:rPr>
          <w:rFonts w:ascii="Gill Sans MT" w:eastAsia="Times New Roman" w:hAnsi="Gill Sans MT" w:cs="Tahoma"/>
          <w:sz w:val="16"/>
          <w:szCs w:val="16"/>
          <w:lang w:eastAsia="en-AU"/>
        </w:rPr>
        <w:t xml:space="preserve">  </w:t>
      </w:r>
      <w:r w:rsidRPr="007D7A77">
        <w:rPr>
          <w:rFonts w:ascii="Gill Sans MT" w:eastAsia="Times New Roman" w:hAnsi="Gill Sans MT" w:cs="Tahoma"/>
          <w:i/>
          <w:sz w:val="16"/>
          <w:szCs w:val="16"/>
          <w:lang w:eastAsia="en-AU"/>
        </w:rPr>
        <w:t>2011 ABS Census</w:t>
      </w:r>
      <w:r w:rsidRPr="007D7A77">
        <w:rPr>
          <w:rFonts w:ascii="Gill Sans MT" w:eastAsia="Times New Roman" w:hAnsi="Gill Sans MT" w:cs="Tahoma"/>
          <w:sz w:val="16"/>
          <w:szCs w:val="16"/>
          <w:lang w:eastAsia="en-AU"/>
        </w:rPr>
        <w:t>. Per</w:t>
      </w:r>
      <w:r>
        <w:rPr>
          <w:rFonts w:ascii="Gill Sans MT" w:eastAsia="Times New Roman" w:hAnsi="Gill Sans MT" w:cs="Tahoma"/>
          <w:sz w:val="16"/>
          <w:szCs w:val="16"/>
          <w:lang w:eastAsia="en-AU"/>
        </w:rPr>
        <w:t xml:space="preserve"> </w:t>
      </w:r>
      <w:r w:rsidRPr="007D7A77">
        <w:rPr>
          <w:rFonts w:ascii="Gill Sans MT" w:eastAsia="Times New Roman" w:hAnsi="Gill Sans MT" w:cs="Tahoma"/>
          <w:sz w:val="16"/>
          <w:szCs w:val="16"/>
          <w:lang w:eastAsia="en-AU"/>
        </w:rPr>
        <w:t xml:space="preserve">cent of Tasmania/Australia shows the proportion of workers employed in this manner. </w:t>
      </w:r>
    </w:p>
    <w:p w14:paraId="4A67EFF8" w14:textId="77777777" w:rsidR="00A45147" w:rsidRDefault="00A45147" w:rsidP="007D7A77">
      <w:pPr>
        <w:pStyle w:val="Sectorbody"/>
        <w:ind w:left="-709" w:right="120"/>
        <w:sectPr w:rsidR="00A45147" w:rsidSect="003E3BF6">
          <w:headerReference w:type="default" r:id="rId13"/>
          <w:pgSz w:w="11906" w:h="16838"/>
          <w:pgMar w:top="3661" w:right="707" w:bottom="1440" w:left="1440" w:header="708" w:footer="708" w:gutter="0"/>
          <w:cols w:space="708"/>
          <w:docGrid w:linePitch="360"/>
        </w:sectPr>
      </w:pPr>
    </w:p>
    <w:p w14:paraId="144DAD93" w14:textId="4F2B2C84" w:rsidR="00D60D44" w:rsidRPr="00D60D44" w:rsidRDefault="00D60D44" w:rsidP="007D7A77">
      <w:pPr>
        <w:pStyle w:val="Sectorbody"/>
        <w:spacing w:after="120"/>
        <w:ind w:right="142"/>
      </w:pPr>
      <w:r w:rsidRPr="00D60D44">
        <w:lastRenderedPageBreak/>
        <w:t xml:space="preserve">The building and construction industry comprises residential </w:t>
      </w:r>
      <w:r w:rsidR="00D074C8">
        <w:t xml:space="preserve">building, </w:t>
      </w:r>
      <w:r w:rsidRPr="00D60D44">
        <w:t>non-residential building</w:t>
      </w:r>
      <w:r w:rsidR="005F37A6">
        <w:t>,</w:t>
      </w:r>
      <w:r w:rsidRPr="00D60D44">
        <w:t xml:space="preserve"> and engineering construction. The value of work done by these in 2011-12 was:</w:t>
      </w:r>
    </w:p>
    <w:p w14:paraId="03089348" w14:textId="77777777" w:rsidR="00D60D44" w:rsidRPr="00D60D44" w:rsidRDefault="00D60D44" w:rsidP="007D7A77">
      <w:pPr>
        <w:pStyle w:val="Sectorbodystats"/>
        <w:ind w:right="142"/>
      </w:pPr>
      <w:r w:rsidRPr="00D60D44">
        <w:t xml:space="preserve">Residential: </w:t>
      </w:r>
      <w:r w:rsidRPr="00D60D44">
        <w:tab/>
      </w:r>
      <w:r w:rsidRPr="00D60D44">
        <w:tab/>
        <w:t>$740 million</w:t>
      </w:r>
    </w:p>
    <w:p w14:paraId="7B06F171" w14:textId="77777777" w:rsidR="00D60D44" w:rsidRPr="00D60D44" w:rsidRDefault="00D60D44" w:rsidP="007D7A77">
      <w:pPr>
        <w:pStyle w:val="Sectorbodystats"/>
        <w:ind w:right="142"/>
      </w:pPr>
      <w:r w:rsidRPr="00D60D44">
        <w:t xml:space="preserve">Non-residential: </w:t>
      </w:r>
      <w:r w:rsidRPr="00D60D44">
        <w:tab/>
      </w:r>
      <w:r w:rsidRPr="00D60D44">
        <w:tab/>
        <w:t>$486 million</w:t>
      </w:r>
    </w:p>
    <w:p w14:paraId="54697669" w14:textId="5EE0B56A" w:rsidR="00D60D44" w:rsidRPr="00D60D44" w:rsidRDefault="00D60D44" w:rsidP="007D7A77">
      <w:pPr>
        <w:pStyle w:val="Sectorbodystats"/>
        <w:ind w:right="142"/>
      </w:pPr>
      <w:r w:rsidRPr="00D60D44">
        <w:t xml:space="preserve">Engineering: </w:t>
      </w:r>
      <w:r w:rsidRPr="00D60D44">
        <w:tab/>
      </w:r>
      <w:r w:rsidRPr="00D60D44">
        <w:tab/>
        <w:t>$1</w:t>
      </w:r>
      <w:r w:rsidR="005F37A6">
        <w:t xml:space="preserve"> </w:t>
      </w:r>
      <w:r w:rsidRPr="00D60D44">
        <w:t>016 million</w:t>
      </w:r>
    </w:p>
    <w:p w14:paraId="6CF07C60" w14:textId="77777777" w:rsidR="00D60D44" w:rsidRPr="00D60D44" w:rsidRDefault="00D60D44" w:rsidP="007D7A77">
      <w:pPr>
        <w:pStyle w:val="Sectorbodystats"/>
        <w:ind w:right="142"/>
        <w:rPr>
          <w:b/>
        </w:rPr>
      </w:pPr>
      <w:r w:rsidRPr="00D60D44">
        <w:rPr>
          <w:b/>
        </w:rPr>
        <w:t xml:space="preserve">Total: </w:t>
      </w:r>
      <w:r w:rsidRPr="00D60D44">
        <w:rPr>
          <w:b/>
        </w:rPr>
        <w:tab/>
      </w:r>
      <w:r w:rsidRPr="00D60D44">
        <w:rPr>
          <w:b/>
        </w:rPr>
        <w:tab/>
      </w:r>
      <w:r w:rsidRPr="00D60D44">
        <w:rPr>
          <w:b/>
        </w:rPr>
        <w:tab/>
        <w:t>$2.24 billion</w:t>
      </w:r>
    </w:p>
    <w:p w14:paraId="15830369" w14:textId="02EA7EEC" w:rsidR="00580221" w:rsidRDefault="00580221" w:rsidP="007D7A77">
      <w:pPr>
        <w:pStyle w:val="Sectorbody"/>
        <w:spacing w:after="120"/>
        <w:ind w:right="142"/>
      </w:pPr>
      <w:r>
        <w:t>The sector’s</w:t>
      </w:r>
      <w:r w:rsidRPr="00D60D44">
        <w:t xml:space="preserve"> </w:t>
      </w:r>
      <w:r w:rsidR="00D60D44" w:rsidRPr="00D60D44">
        <w:t>economic activity is estimated to contribute approximately $1.249 billion (5.8 per cent) towards Gross State Product</w:t>
      </w:r>
      <w:r>
        <w:rPr>
          <w:rStyle w:val="FootnoteReference"/>
        </w:rPr>
        <w:footnoteReference w:id="2"/>
      </w:r>
      <w:r w:rsidR="00D60D44" w:rsidRPr="00D60D44">
        <w:t xml:space="preserve">. </w:t>
      </w:r>
    </w:p>
    <w:p w14:paraId="1812FD7E" w14:textId="420D9D31" w:rsidR="00D60D44" w:rsidRPr="00D60D44" w:rsidRDefault="00D60D44" w:rsidP="007D7A77">
      <w:pPr>
        <w:pStyle w:val="Sectorbody"/>
        <w:spacing w:after="120"/>
        <w:ind w:right="142"/>
      </w:pPr>
      <w:r w:rsidRPr="00D60D44">
        <w:t>The Tasmanian building and construction sector has demonstrated a capacity to match the high levels of demand placed on it in recent years</w:t>
      </w:r>
      <w:r w:rsidR="005F37A6">
        <w:t>,</w:t>
      </w:r>
      <w:r w:rsidRPr="00D60D44">
        <w:t xml:space="preserve"> particularly as a result of economic stimulus funding following the </w:t>
      </w:r>
      <w:r w:rsidR="005F37A6">
        <w:t>g</w:t>
      </w:r>
      <w:r w:rsidRPr="00D60D44">
        <w:t xml:space="preserve">lobal </w:t>
      </w:r>
      <w:r w:rsidR="005F37A6">
        <w:t>f</w:t>
      </w:r>
      <w:r w:rsidRPr="00D60D44">
        <w:t xml:space="preserve">inancial </w:t>
      </w:r>
      <w:r w:rsidR="005F37A6">
        <w:t>c</w:t>
      </w:r>
      <w:r w:rsidRPr="00D60D44">
        <w:t>risis</w:t>
      </w:r>
      <w:r w:rsidR="009E3D48">
        <w:t>.</w:t>
      </w:r>
    </w:p>
    <w:p w14:paraId="2B93763C" w14:textId="5772FC26" w:rsidR="00D60D44" w:rsidRDefault="00580221" w:rsidP="007D7A77">
      <w:pPr>
        <w:pStyle w:val="Sectorbody"/>
        <w:spacing w:after="120"/>
        <w:ind w:right="142"/>
      </w:pPr>
      <w:r>
        <w:t xml:space="preserve">Figures from the </w:t>
      </w:r>
      <w:r w:rsidR="00CF506C">
        <w:t xml:space="preserve">ABS Census 2011 </w:t>
      </w:r>
      <w:r>
        <w:t>indicate</w:t>
      </w:r>
      <w:r w:rsidR="00CF506C">
        <w:t xml:space="preserve"> that employment in the sector rose </w:t>
      </w:r>
      <w:r w:rsidR="0020010C">
        <w:t xml:space="preserve">in Tasmania </w:t>
      </w:r>
      <w:r w:rsidR="00CF506C">
        <w:t>by 25.7% between 2006 and 2011. However, s</w:t>
      </w:r>
      <w:r w:rsidR="006B54D2">
        <w:t>ince</w:t>
      </w:r>
      <w:r w:rsidR="006B54D2" w:rsidRPr="00D60D44">
        <w:t xml:space="preserve"> </w:t>
      </w:r>
      <w:r w:rsidR="00D60D44" w:rsidRPr="00D60D44">
        <w:t>the conclusion of stimulus initiatives</w:t>
      </w:r>
      <w:r w:rsidR="00CF506C">
        <w:t xml:space="preserve"> in 2010-11</w:t>
      </w:r>
      <w:r w:rsidR="00D60D44" w:rsidRPr="00D60D44">
        <w:t xml:space="preserve">, the </w:t>
      </w:r>
      <w:r>
        <w:t xml:space="preserve">building and construction </w:t>
      </w:r>
      <w:r w:rsidR="00D60D44" w:rsidRPr="00D60D44">
        <w:t xml:space="preserve">workforce </w:t>
      </w:r>
      <w:r w:rsidR="00CF506C">
        <w:t xml:space="preserve">in Tasmania </w:t>
      </w:r>
      <w:r w:rsidR="00D60D44" w:rsidRPr="00D60D44">
        <w:t>has fallen to around 17</w:t>
      </w:r>
      <w:r w:rsidR="005F37A6">
        <w:t xml:space="preserve"> </w:t>
      </w:r>
      <w:r w:rsidR="00D60D44" w:rsidRPr="00D60D44">
        <w:t>000 workers, with a</w:t>
      </w:r>
      <w:r w:rsidR="00D074C8">
        <w:t>n</w:t>
      </w:r>
      <w:r w:rsidR="00D60D44" w:rsidRPr="00D60D44">
        <w:t xml:space="preserve"> </w:t>
      </w:r>
      <w:r w:rsidR="00D074C8">
        <w:t>associated</w:t>
      </w:r>
      <w:r w:rsidR="00D074C8" w:rsidRPr="00D60D44">
        <w:t xml:space="preserve"> </w:t>
      </w:r>
      <w:r w:rsidR="00D60D44" w:rsidRPr="00D60D44">
        <w:t>fall in apprenticeship commencements and training</w:t>
      </w:r>
      <w:r w:rsidR="00D60D44" w:rsidRPr="00362F77">
        <w:t>.</w:t>
      </w:r>
      <w:r w:rsidR="00B304E6" w:rsidRPr="00362F77">
        <w:t xml:space="preserve"> </w:t>
      </w:r>
      <w:r w:rsidR="00362F77">
        <w:t>L</w:t>
      </w:r>
      <w:r w:rsidR="00D60D44" w:rsidRPr="00D60D44">
        <w:t>ow economic growth, and rising levels of unemployment ha</w:t>
      </w:r>
      <w:r w:rsidR="005F37A6">
        <w:t>ve</w:t>
      </w:r>
      <w:r w:rsidR="00D60D44" w:rsidRPr="00D60D44">
        <w:t xml:space="preserve"> not yet been offset by low interest rates</w:t>
      </w:r>
      <w:r w:rsidR="005F37A6">
        <w:t>,</w:t>
      </w:r>
      <w:r w:rsidR="00D60D44" w:rsidRPr="00D60D44">
        <w:t xml:space="preserve"> the First Home Builder Boost</w:t>
      </w:r>
      <w:r w:rsidR="00362F77">
        <w:t>,</w:t>
      </w:r>
      <w:r w:rsidR="00D60D44" w:rsidRPr="00D60D44">
        <w:t xml:space="preserve"> or First Home Owner Grant</w:t>
      </w:r>
      <w:r w:rsidR="00CF506C">
        <w:t>, which ended on 30 June 2014</w:t>
      </w:r>
      <w:r w:rsidR="00D60D44" w:rsidRPr="00D60D44">
        <w:t xml:space="preserve">.  </w:t>
      </w:r>
    </w:p>
    <w:p w14:paraId="0336B46E" w14:textId="190F1C09" w:rsidR="00B06A9B" w:rsidRPr="00B06A9B" w:rsidRDefault="00015F31" w:rsidP="00B06A9B">
      <w:pPr>
        <w:pStyle w:val="Sectorbody"/>
        <w:spacing w:after="120"/>
        <w:ind w:right="142"/>
      </w:pPr>
      <w:r>
        <w:t xml:space="preserve">According to the latest </w:t>
      </w:r>
      <w:r w:rsidRPr="00B06A9B">
        <w:rPr>
          <w:i/>
          <w:iCs/>
        </w:rPr>
        <w:t>Property Council/ANZ Property Industry Confidence Survey</w:t>
      </w:r>
      <w:r>
        <w:t>, o</w:t>
      </w:r>
      <w:r w:rsidR="00B06A9B" w:rsidRPr="00B06A9B">
        <w:t xml:space="preserve">n the back of the March 2014 State election results, </w:t>
      </w:r>
      <w:r w:rsidR="00B06A9B" w:rsidRPr="00362F77">
        <w:t>Tasmania’s property industry had a seven point jump in confidence.</w:t>
      </w:r>
      <w:r w:rsidR="00362F77">
        <w:t xml:space="preserve"> </w:t>
      </w:r>
      <w:r w:rsidR="00B06A9B" w:rsidRPr="00B06A9B">
        <w:t xml:space="preserve">The eleventh survey, the largest of its kind in the country, shows Tasmania’s property industry sentiment has jumped 32 points over the last 12 months to sit for the first time in the survey’s history at 128 points for the June 2014 quarter. </w:t>
      </w:r>
      <w:r w:rsidR="00362F77">
        <w:t>This reflects</w:t>
      </w:r>
      <w:r w:rsidR="00B06A9B" w:rsidRPr="00B06A9B">
        <w:t xml:space="preserve"> an improving economic outlook following two years of very weak conditions.</w:t>
      </w:r>
    </w:p>
    <w:p w14:paraId="64B48799" w14:textId="46C5CBA9" w:rsidR="00B06A9B" w:rsidRPr="00B06A9B" w:rsidRDefault="00B06A9B" w:rsidP="00B06A9B">
      <w:pPr>
        <w:pStyle w:val="Sectorbody"/>
        <w:spacing w:after="120"/>
        <w:ind w:right="142"/>
      </w:pPr>
      <w:r w:rsidRPr="00B06A9B">
        <w:t xml:space="preserve">The Tasmanian Property Council report states that the new </w:t>
      </w:r>
      <w:r w:rsidR="00015F31">
        <w:t xml:space="preserve">Liberal </w:t>
      </w:r>
      <w:r w:rsidRPr="00B06A9B">
        <w:t>ma</w:t>
      </w:r>
      <w:r w:rsidR="00015F31">
        <w:t>jority state government appears</w:t>
      </w:r>
      <w:r w:rsidRPr="00B06A9B">
        <w:t xml:space="preserve"> to be winning the industry’s confidence in measures such as the $10 million water and sewerage </w:t>
      </w:r>
      <w:r w:rsidR="00015F31" w:rsidRPr="00B06A9B">
        <w:t>headwork</w:t>
      </w:r>
      <w:r w:rsidRPr="00B06A9B">
        <w:t xml:space="preserve"> holiday and establishment of the planning reform taskforce.</w:t>
      </w:r>
    </w:p>
    <w:p w14:paraId="188B2D28" w14:textId="77777777" w:rsidR="00D60D44" w:rsidRPr="00D60D44" w:rsidRDefault="00D60D44" w:rsidP="007D7A77">
      <w:pPr>
        <w:pStyle w:val="Sectorbody"/>
        <w:spacing w:after="120"/>
        <w:ind w:right="142"/>
      </w:pPr>
      <w:r w:rsidRPr="00D60D44">
        <w:t xml:space="preserve">While residential demand appears to be stabilising, non-residential or commercial demand, both private and public, has seen successive declines over a number of quarters accompanied by a steady increase in office vacancy.  </w:t>
      </w:r>
    </w:p>
    <w:p w14:paraId="7018869B" w14:textId="66D4D897" w:rsidR="00015F31" w:rsidRDefault="00D60D44" w:rsidP="00B06A9B">
      <w:pPr>
        <w:pStyle w:val="Sectorbody"/>
        <w:spacing w:before="0" w:after="120"/>
        <w:ind w:right="142"/>
      </w:pPr>
      <w:r w:rsidRPr="00D60D44">
        <w:t>Engineering construction has also declined</w:t>
      </w:r>
      <w:r w:rsidR="005F37A6">
        <w:t>,</w:t>
      </w:r>
      <w:r w:rsidRPr="00D60D44">
        <w:t xml:space="preserve"> with the completion of nationally</w:t>
      </w:r>
      <w:r w:rsidR="006B54D2">
        <w:t>-</w:t>
      </w:r>
      <w:r w:rsidRPr="00D60D44">
        <w:t>funded projects coinciding with a lack of new activity</w:t>
      </w:r>
      <w:r w:rsidR="005F37A6">
        <w:t>,</w:t>
      </w:r>
      <w:r w:rsidRPr="00D60D44">
        <w:t xml:space="preserve"> due to ongoing weak macroeconomic conditions. Activity in this area in the foreseeable future is likely to be supported mainly by road projects and infrastructure maintenance, as well as works associated with the development of new mining activities on the West Coast and irrigation projects statewide.</w:t>
      </w:r>
    </w:p>
    <w:p w14:paraId="6B4B3E73" w14:textId="77F0EAE8" w:rsidR="00B06A9B" w:rsidRDefault="00015F31" w:rsidP="00B06A9B">
      <w:pPr>
        <w:pStyle w:val="Sectorbody"/>
        <w:spacing w:before="0" w:after="120"/>
        <w:ind w:right="142"/>
        <w:sectPr w:rsidR="00B06A9B" w:rsidSect="00EF6B02">
          <w:headerReference w:type="default" r:id="rId14"/>
          <w:footerReference w:type="default" r:id="rId15"/>
          <w:pgSz w:w="11906" w:h="16838"/>
          <w:pgMar w:top="1525" w:right="707" w:bottom="1440" w:left="1134" w:header="708" w:footer="696" w:gutter="0"/>
          <w:cols w:space="708"/>
          <w:docGrid w:linePitch="360"/>
        </w:sectPr>
      </w:pPr>
      <w:r>
        <w:t>Australian Government</w:t>
      </w:r>
      <w:r w:rsidR="00B06A9B" w:rsidRPr="00B06A9B">
        <w:t xml:space="preserve"> funding for the Hobart Airport runway, rail infrastructure and the Midland Highway upgrade will also provide opportunities for the engineering construction sector.   </w:t>
      </w:r>
    </w:p>
    <w:p w14:paraId="69620BF7" w14:textId="51F708C9" w:rsidR="00D60D44" w:rsidRDefault="00D60D44" w:rsidP="007D7A77">
      <w:pPr>
        <w:pStyle w:val="Sectorbody"/>
        <w:spacing w:before="120" w:after="120"/>
      </w:pPr>
      <w:r>
        <w:lastRenderedPageBreak/>
        <w:t xml:space="preserve">Consultation with industry stakeholders </w:t>
      </w:r>
      <w:r w:rsidR="00362F77">
        <w:t xml:space="preserve">in 2013 </w:t>
      </w:r>
      <w:r>
        <w:t>identified the following key constraints and opportunities</w:t>
      </w:r>
      <w:r w:rsidR="00FD21DE">
        <w:t>:</w:t>
      </w:r>
      <w:r>
        <w:t xml:space="preserve"> </w:t>
      </w:r>
    </w:p>
    <w:p w14:paraId="717201E2" w14:textId="0F94C699" w:rsidR="00D60D44" w:rsidRDefault="000B667B" w:rsidP="00A642C5">
      <w:pPr>
        <w:pStyle w:val="Heading2"/>
        <w:spacing w:before="240"/>
      </w:pPr>
      <w:r>
        <w:t>Constraints</w:t>
      </w:r>
    </w:p>
    <w:p w14:paraId="3DBF1E4F" w14:textId="77777777" w:rsidR="00D60D44" w:rsidRPr="00CB5A10" w:rsidRDefault="00D60D44" w:rsidP="007D7A77">
      <w:pPr>
        <w:pStyle w:val="Sectorbodydotpoints"/>
      </w:pPr>
      <w:r w:rsidRPr="00CB5A10">
        <w:t xml:space="preserve">Maintaining access to skilled workforce in workflow peaks and troughs. </w:t>
      </w:r>
    </w:p>
    <w:p w14:paraId="67FA830E" w14:textId="030B13C7" w:rsidR="00D60D44" w:rsidRPr="00CB5A10" w:rsidRDefault="00D60D44" w:rsidP="007D7A77">
      <w:pPr>
        <w:pStyle w:val="Sectorbodydotpoints"/>
      </w:pPr>
      <w:r w:rsidRPr="00CB5A10">
        <w:t>High reliance on government</w:t>
      </w:r>
      <w:r w:rsidR="000E29BB">
        <w:t>-</w:t>
      </w:r>
      <w:r w:rsidRPr="00CB5A10">
        <w:t>funded projects.</w:t>
      </w:r>
    </w:p>
    <w:p w14:paraId="10829F6F" w14:textId="77777777" w:rsidR="00D60D44" w:rsidRPr="00CB5A10" w:rsidRDefault="00D60D44" w:rsidP="007D7A77">
      <w:pPr>
        <w:pStyle w:val="Sectorbodydotpoints"/>
      </w:pPr>
      <w:r w:rsidRPr="00CB5A10">
        <w:t>Interest rate volatility and impact of global finance markets.</w:t>
      </w:r>
    </w:p>
    <w:p w14:paraId="7E2B15A6" w14:textId="77777777" w:rsidR="00D60D44" w:rsidRPr="00CB5A10" w:rsidRDefault="00D60D44" w:rsidP="007D7A77">
      <w:pPr>
        <w:pStyle w:val="Sectorbodydotpoints"/>
      </w:pPr>
      <w:r w:rsidRPr="00CB5A10">
        <w:t>Low levels of population growth.</w:t>
      </w:r>
    </w:p>
    <w:p w14:paraId="55EA8793" w14:textId="77777777" w:rsidR="00D60D44" w:rsidRPr="00CB5A10" w:rsidRDefault="00D60D44" w:rsidP="007D7A77">
      <w:pPr>
        <w:pStyle w:val="Sectorbodydotpoints"/>
      </w:pPr>
      <w:r w:rsidRPr="00CB5A10">
        <w:t>Lack of resources to accelerate planning reform.</w:t>
      </w:r>
    </w:p>
    <w:p w14:paraId="215FFF6D" w14:textId="77777777" w:rsidR="00D60D44" w:rsidRPr="00CB5A10" w:rsidRDefault="00D60D44" w:rsidP="007D7A77">
      <w:pPr>
        <w:pStyle w:val="Sectorbodydotpoints"/>
      </w:pPr>
      <w:r w:rsidRPr="00CB5A10">
        <w:t>Low level of investor confidence.</w:t>
      </w:r>
    </w:p>
    <w:p w14:paraId="7AD6B716" w14:textId="77777777" w:rsidR="00D60D44" w:rsidRPr="00CB5A10" w:rsidRDefault="00D60D44" w:rsidP="007D7A77">
      <w:pPr>
        <w:pStyle w:val="Sectorbodydotpoints"/>
      </w:pPr>
      <w:r w:rsidRPr="00CB5A10">
        <w:t xml:space="preserve">Low level of government funding. </w:t>
      </w:r>
    </w:p>
    <w:p w14:paraId="1A3AB391" w14:textId="24B646E5" w:rsidR="00D60D44" w:rsidRDefault="000B667B" w:rsidP="00A642C5">
      <w:pPr>
        <w:pStyle w:val="Heading2"/>
        <w:spacing w:before="240"/>
      </w:pPr>
      <w:r>
        <w:t>Opportunities</w:t>
      </w:r>
    </w:p>
    <w:p w14:paraId="59077CCB" w14:textId="77777777" w:rsidR="00D60D44" w:rsidRDefault="00D60D44" w:rsidP="007D7A77">
      <w:pPr>
        <w:pStyle w:val="Sectorbodydotpoints"/>
      </w:pPr>
      <w:r>
        <w:t>Increased activity in the mining sector.</w:t>
      </w:r>
    </w:p>
    <w:p w14:paraId="0F4B5DA7" w14:textId="77777777" w:rsidR="00D60D44" w:rsidRDefault="00D60D44" w:rsidP="007D7A77">
      <w:pPr>
        <w:pStyle w:val="Sectorbodydotpoints"/>
      </w:pPr>
      <w:r>
        <w:t>Low land cost relative to other states.</w:t>
      </w:r>
    </w:p>
    <w:p w14:paraId="59548457" w14:textId="2D22E8F0" w:rsidR="00D60D44" w:rsidRDefault="00D60D44" w:rsidP="007D7A77">
      <w:pPr>
        <w:pStyle w:val="Sectorbodydotpoints"/>
      </w:pPr>
      <w:r>
        <w:t>N</w:t>
      </w:r>
      <w:r w:rsidR="00FD21DE">
        <w:t xml:space="preserve">ational </w:t>
      </w:r>
      <w:r>
        <w:t>B</w:t>
      </w:r>
      <w:r w:rsidR="00FD21DE">
        <w:t xml:space="preserve">roadband </w:t>
      </w:r>
      <w:r>
        <w:t>N</w:t>
      </w:r>
      <w:r w:rsidR="00FD21DE">
        <w:t>etwork</w:t>
      </w:r>
      <w:r>
        <w:t xml:space="preserve"> rollout.</w:t>
      </w:r>
    </w:p>
    <w:p w14:paraId="1A65F20C" w14:textId="77777777" w:rsidR="00D60D44" w:rsidRDefault="00D60D44" w:rsidP="007D7A77">
      <w:pPr>
        <w:pStyle w:val="Sectorbodydotpoints"/>
      </w:pPr>
      <w:r>
        <w:t>Potential for the renewable energy sector to expand.</w:t>
      </w:r>
    </w:p>
    <w:p w14:paraId="5403742D" w14:textId="77777777" w:rsidR="00D60D44" w:rsidRDefault="00D60D44" w:rsidP="007D7A77">
      <w:pPr>
        <w:pStyle w:val="Sectorbodydotpoints"/>
      </w:pPr>
      <w:r>
        <w:t>Bringing forward projects in times of low interest rates.</w:t>
      </w:r>
    </w:p>
    <w:p w14:paraId="238CB692" w14:textId="77777777" w:rsidR="00D60D44" w:rsidRDefault="00D60D44" w:rsidP="007D7A77">
      <w:pPr>
        <w:pStyle w:val="Sectorbodydotpoints"/>
      </w:pPr>
      <w:r>
        <w:t>Improved planning instruments.</w:t>
      </w:r>
    </w:p>
    <w:p w14:paraId="6844B8CF" w14:textId="08A8E102" w:rsidR="00D60D44" w:rsidRPr="00E57611" w:rsidRDefault="00D60D44" w:rsidP="007D7A77">
      <w:pPr>
        <w:pStyle w:val="Sectorbodydotpoints"/>
      </w:pPr>
      <w:r w:rsidRPr="00E57611">
        <w:t xml:space="preserve">Reduction of </w:t>
      </w:r>
      <w:r w:rsidR="000E29BB">
        <w:t>‘</w:t>
      </w:r>
      <w:r w:rsidRPr="00E57611">
        <w:t>red and green tape</w:t>
      </w:r>
      <w:r w:rsidR="000E29BB">
        <w:t>’</w:t>
      </w:r>
      <w:r w:rsidRPr="00E57611">
        <w:t>.</w:t>
      </w:r>
    </w:p>
    <w:p w14:paraId="3EE68677" w14:textId="3077A01D" w:rsidR="009F6BFB" w:rsidRDefault="00D60D44" w:rsidP="007D7A77">
      <w:pPr>
        <w:pStyle w:val="Sectorbodydotpoints"/>
        <w:spacing w:after="0"/>
        <w:ind w:left="425" w:hanging="425"/>
      </w:pPr>
      <w:r>
        <w:t>Promotion and encouragement of innovation including the Innovation Award.</w:t>
      </w:r>
    </w:p>
    <w:p w14:paraId="64C54ADA" w14:textId="77777777" w:rsidR="00F11907" w:rsidRDefault="00F11907" w:rsidP="007D7A77">
      <w:pPr>
        <w:pStyle w:val="Sectorbodydotpoints"/>
        <w:numPr>
          <w:ilvl w:val="0"/>
          <w:numId w:val="0"/>
        </w:numPr>
        <w:spacing w:after="0"/>
        <w:ind w:left="-284"/>
      </w:pPr>
    </w:p>
    <w:p w14:paraId="2F72B8C3" w14:textId="7F691664" w:rsidR="00C0471B" w:rsidRDefault="00F11907" w:rsidP="007D7A77">
      <w:pPr>
        <w:pStyle w:val="Sectorbodydotpoints"/>
      </w:pPr>
      <w:r>
        <w:rPr>
          <w:noProof/>
          <w:lang w:eastAsia="en-AU"/>
        </w:rPr>
        <mc:AlternateContent>
          <mc:Choice Requires="wpg">
            <w:drawing>
              <wp:anchor distT="0" distB="0" distL="114300" distR="114300" simplePos="0" relativeHeight="251658240" behindDoc="0" locked="0" layoutInCell="1" allowOverlap="1" wp14:anchorId="0424443D" wp14:editId="5C88AD30">
                <wp:simplePos x="0" y="0"/>
                <wp:positionH relativeFrom="column">
                  <wp:posOffset>-262890</wp:posOffset>
                </wp:positionH>
                <wp:positionV relativeFrom="paragraph">
                  <wp:posOffset>-19020</wp:posOffset>
                </wp:positionV>
                <wp:extent cx="6677247" cy="276446"/>
                <wp:effectExtent l="0" t="0" r="9525" b="0"/>
                <wp:wrapNone/>
                <wp:docPr id="2" name="Group 2"/>
                <wp:cNvGraphicFramePr/>
                <a:graphic xmlns:a="http://schemas.openxmlformats.org/drawingml/2006/main">
                  <a:graphicData uri="http://schemas.microsoft.com/office/word/2010/wordprocessingGroup">
                    <wpg:wgp>
                      <wpg:cNvGrpSpPr/>
                      <wpg:grpSpPr>
                        <a:xfrm>
                          <a:off x="0" y="0"/>
                          <a:ext cx="6677247" cy="276446"/>
                          <a:chOff x="-7799" y="0"/>
                          <a:chExt cx="6551722" cy="278296"/>
                        </a:xfrm>
                      </wpg:grpSpPr>
                      <wps:wsp>
                        <wps:cNvPr id="3" name="Rectangle 3"/>
                        <wps:cNvSpPr/>
                        <wps:spPr>
                          <a:xfrm>
                            <a:off x="0" y="23854"/>
                            <a:ext cx="6543923" cy="198783"/>
                          </a:xfrm>
                          <a:prstGeom prst="rect">
                            <a:avLst/>
                          </a:prstGeom>
                          <a:gradFill flip="none" rotWithShape="1">
                            <a:gsLst>
                              <a:gs pos="0">
                                <a:schemeClr val="accent2">
                                  <a:lumMod val="60000"/>
                                  <a:lumOff val="40000"/>
                                  <a:tint val="66000"/>
                                  <a:satMod val="160000"/>
                                </a:schemeClr>
                              </a:gs>
                              <a:gs pos="50000">
                                <a:schemeClr val="accent2">
                                  <a:lumMod val="60000"/>
                                  <a:lumOff val="40000"/>
                                  <a:tint val="44500"/>
                                  <a:satMod val="160000"/>
                                </a:schemeClr>
                              </a:gs>
                              <a:gs pos="100000">
                                <a:schemeClr val="accent2">
                                  <a:lumMod val="60000"/>
                                  <a:lumOff val="40000"/>
                                  <a:tint val="23500"/>
                                  <a:satMod val="16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2"/>
                        <wps:cNvSpPr txBox="1">
                          <a:spLocks noChangeArrowheads="1"/>
                        </wps:cNvSpPr>
                        <wps:spPr bwMode="auto">
                          <a:xfrm>
                            <a:off x="-7799" y="0"/>
                            <a:ext cx="2552369" cy="278296"/>
                          </a:xfrm>
                          <a:prstGeom prst="rect">
                            <a:avLst/>
                          </a:prstGeom>
                          <a:noFill/>
                          <a:ln w="9525">
                            <a:noFill/>
                            <a:miter lim="800000"/>
                            <a:headEnd/>
                            <a:tailEnd/>
                          </a:ln>
                        </wps:spPr>
                        <wps:txbx>
                          <w:txbxContent>
                            <w:p w14:paraId="74820AC1" w14:textId="0AAA0A93" w:rsidR="005048C5" w:rsidRPr="0058406A" w:rsidRDefault="005048C5" w:rsidP="009F6BFB">
                              <w:pPr>
                                <w:spacing w:after="0"/>
                                <w:rPr>
                                  <w:rFonts w:ascii="Gill Sans MT" w:hAnsi="Gill Sans MT"/>
                                  <w:b/>
                                </w:rPr>
                              </w:pPr>
                              <w:r w:rsidRPr="000E4476">
                                <w:rPr>
                                  <w:rFonts w:ascii="Gill Sans MT" w:hAnsi="Gill Sans MT"/>
                                  <w:b/>
                                </w:rPr>
                                <w:t xml:space="preserve">Issues facing the </w:t>
                              </w:r>
                              <w:r w:rsidR="00EF6B02">
                                <w:rPr>
                                  <w:rFonts w:ascii="Gill Sans MT" w:hAnsi="Gill Sans MT"/>
                                  <w:b/>
                                </w:rPr>
                                <w:t>sector</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0424443D" id="Group 2" o:spid="_x0000_s1026" style="position:absolute;left:0;text-align:left;margin-left:-20.7pt;margin-top:-1.5pt;width:525.75pt;height:21.75pt;z-index:251658240;mso-width-relative:margin" coordorigin="-77" coordsize="65517,2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">
                <v:rect id="Rectangle 3" o:spid="_x0000_s1027" style="position:absolute;top:238;width:65439;height:1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CP3sEA&#10;AADaAAAADwAAAGRycy9kb3ducmV2LnhtbESPQYvCMBSE74L/ITzBS9FUF0SqUVQQ9qoryx6fzbMN&#10;Ni+1yWrrr98sCB6HmfmGWa5bW4k7Nd44VjAZpyCIc6cNFwpOX/vRHIQPyBorx6SgIw/rVb+3xEy7&#10;Bx/ofgyFiBD2GSooQ6gzKX1ekkU/djVx9C6usRiibAqpG3xEuK3kNE1n0qLhuFBiTbuS8uvx1yrY&#10;nn8Sa2bJ9pnfdvb8vTdJ5zqlhoN2swARqA3v8Kv9qRV8wP+VeAP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wj97BAAAA2gAAAA8AAAAAAAAAAAAAAAAAmAIAAGRycy9kb3du&#10;cmV2LnhtbFBLBQYAAAAABAAEAPUAAACGAwAAAAA=&#10;" fillcolor="#d99594 [1941]" stroked="f" strokeweight="2pt">
                  <v:fill color2="#d99594 [1941]" rotate="t" angle="90" colors="0 #f2b8b6;.5 #f6d2d1;1 #fae8e8" focus="100%" type="gradient"/>
                </v:rect>
                <v:shapetype id="_x0000_t202" coordsize="21600,21600" o:spt="202" path="m,l,21600r21600,l21600,xe">
                  <v:stroke joinstyle="miter"/>
                  <v:path gradientshapeok="t" o:connecttype="rect"/>
                </v:shapetype>
                <v:shape id="_x0000_s1028" type="#_x0000_t202" style="position:absolute;left:-77;width:25522;height:2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74820AC1" w14:textId="0AAA0A93" w:rsidR="005048C5" w:rsidRPr="0058406A" w:rsidRDefault="005048C5" w:rsidP="009F6BFB">
                        <w:pPr>
                          <w:spacing w:after="0"/>
                          <w:rPr>
                            <w:rFonts w:ascii="Gill Sans MT" w:hAnsi="Gill Sans MT"/>
                            <w:b/>
                          </w:rPr>
                        </w:pPr>
                        <w:r w:rsidRPr="000E4476">
                          <w:rPr>
                            <w:rFonts w:ascii="Gill Sans MT" w:hAnsi="Gill Sans MT"/>
                            <w:b/>
                          </w:rPr>
                          <w:t xml:space="preserve">Issues facing the </w:t>
                        </w:r>
                        <w:r w:rsidR="00EF6B02">
                          <w:rPr>
                            <w:rFonts w:ascii="Gill Sans MT" w:hAnsi="Gill Sans MT"/>
                            <w:b/>
                          </w:rPr>
                          <w:t>sector</w:t>
                        </w:r>
                      </w:p>
                    </w:txbxContent>
                  </v:textbox>
                </v:shape>
              </v:group>
            </w:pict>
          </mc:Fallback>
        </mc:AlternateContent>
      </w:r>
    </w:p>
    <w:p w14:paraId="6037C066" w14:textId="2A785F01" w:rsidR="009F6BFB" w:rsidRDefault="009F6BFB" w:rsidP="007D7A77">
      <w:pPr>
        <w:pStyle w:val="Sectorbody"/>
      </w:pPr>
      <w:r>
        <w:t xml:space="preserve">The Tasmanian building and construction sector operates within a relatively small market, and is therefore particularly concerned with the </w:t>
      </w:r>
      <w:r w:rsidR="000E29BB">
        <w:t>‘</w:t>
      </w:r>
      <w:r>
        <w:t>pipeline</w:t>
      </w:r>
      <w:r w:rsidR="000E29BB">
        <w:t>’</w:t>
      </w:r>
      <w:r>
        <w:t xml:space="preserve"> of projects over the foreseeable future</w:t>
      </w:r>
      <w:r w:rsidR="000E29BB">
        <w:t>, i</w:t>
      </w:r>
      <w:r>
        <w:t>nclud</w:t>
      </w:r>
      <w:r w:rsidR="000E29BB">
        <w:t>ing</w:t>
      </w:r>
      <w:r>
        <w:t xml:space="preserve"> approved building projects, works programs and major projects.  </w:t>
      </w:r>
    </w:p>
    <w:p w14:paraId="55DCEA50" w14:textId="74C0EFD9" w:rsidR="009F6BFB" w:rsidRDefault="009F6BFB" w:rsidP="007D7A77">
      <w:pPr>
        <w:pStyle w:val="Sectorbody"/>
      </w:pPr>
      <w:r>
        <w:t>Industry leaders believe a certain critical mass of activity in Tasmania is necessary to maintain industry capability and productivity. Falling below this critical mass is likely to exacerbate the decline in employment and the out</w:t>
      </w:r>
      <w:r w:rsidR="000E29BB">
        <w:t>ward</w:t>
      </w:r>
      <w:r>
        <w:t xml:space="preserve"> migration of skilled industry personnel. Industry feels government is best placed to take a lead in the staging of projects to manage a minimum level of activity in the industry. </w:t>
      </w:r>
    </w:p>
    <w:p w14:paraId="1715D010" w14:textId="6FF5674A" w:rsidR="009F6BFB" w:rsidRDefault="009F6BFB" w:rsidP="007D7A77">
      <w:pPr>
        <w:pStyle w:val="Sectorbody"/>
      </w:pPr>
      <w:r>
        <w:t>Further issues relevant to each component of the Tasmanian building and construction sector are outlined below</w:t>
      </w:r>
      <w:r w:rsidR="00FD21DE">
        <w:t>:</w:t>
      </w:r>
    </w:p>
    <w:p w14:paraId="3ADBB6DA" w14:textId="77777777" w:rsidR="009F6BFB" w:rsidRPr="00127D71" w:rsidRDefault="009F6BFB" w:rsidP="002E3B35">
      <w:pPr>
        <w:pStyle w:val="Sectorbody"/>
        <w:spacing w:after="200"/>
        <w:rPr>
          <w:b/>
        </w:rPr>
      </w:pPr>
      <w:r w:rsidRPr="00127D71">
        <w:rPr>
          <w:b/>
        </w:rPr>
        <w:t xml:space="preserve">Residential building </w:t>
      </w:r>
    </w:p>
    <w:p w14:paraId="47049ED9" w14:textId="62E83CD1" w:rsidR="00C43CE5" w:rsidRDefault="00D074C8" w:rsidP="007D7A77">
      <w:pPr>
        <w:pStyle w:val="Sectorbody"/>
      </w:pPr>
      <w:r>
        <w:t xml:space="preserve">While </w:t>
      </w:r>
      <w:r w:rsidR="009F6BFB">
        <w:t xml:space="preserve">market conditions for the residential sector in Tasmania </w:t>
      </w:r>
      <w:r>
        <w:t>improved over the December 2013 and March 2014 quarters they remain</w:t>
      </w:r>
      <w:r w:rsidR="009F6BFB">
        <w:t xml:space="preserve"> soft</w:t>
      </w:r>
      <w:r w:rsidR="00362F77">
        <w:t xml:space="preserve"> in historical terms</w:t>
      </w:r>
      <w:r w:rsidR="009F6BFB">
        <w:t xml:space="preserve">. </w:t>
      </w:r>
      <w:r w:rsidR="00362F77">
        <w:t>In mid-2014, h</w:t>
      </w:r>
      <w:r w:rsidR="009F6BFB">
        <w:t>ousing starts are around 2</w:t>
      </w:r>
      <w:r w:rsidR="008A23C5">
        <w:t xml:space="preserve"> </w:t>
      </w:r>
      <w:r w:rsidR="009F6BFB">
        <w:t>000 dwellings per annum</w:t>
      </w:r>
      <w:r w:rsidR="0020010C">
        <w:t xml:space="preserve">. Industry stakeholders state that </w:t>
      </w:r>
      <w:r w:rsidR="00831F4A">
        <w:t>in the past,</w:t>
      </w:r>
      <w:r w:rsidR="0020010C">
        <w:t xml:space="preserve"> housing starts </w:t>
      </w:r>
      <w:r w:rsidR="00831F4A">
        <w:t>have been</w:t>
      </w:r>
      <w:r w:rsidR="0020010C">
        <w:t xml:space="preserve"> </w:t>
      </w:r>
      <w:r w:rsidR="00831F4A">
        <w:t>around</w:t>
      </w:r>
      <w:r w:rsidR="0020010C">
        <w:t xml:space="preserve"> </w:t>
      </w:r>
      <w:r w:rsidR="009F6BFB">
        <w:t>2</w:t>
      </w:r>
      <w:r w:rsidR="008A23C5">
        <w:t xml:space="preserve"> </w:t>
      </w:r>
      <w:r w:rsidR="009F6BFB">
        <w:t>500</w:t>
      </w:r>
      <w:r w:rsidR="002B4D00">
        <w:t>-</w:t>
      </w:r>
      <w:r w:rsidR="009F6BFB">
        <w:t>3</w:t>
      </w:r>
      <w:r w:rsidR="008A23C5">
        <w:t xml:space="preserve"> </w:t>
      </w:r>
      <w:r w:rsidR="009F6BFB">
        <w:t>000 dwellings per annum. The residential building industry is</w:t>
      </w:r>
      <w:r w:rsidR="0020010C">
        <w:t xml:space="preserve"> however</w:t>
      </w:r>
      <w:r w:rsidR="009F6BFB">
        <w:t>, being supported by high</w:t>
      </w:r>
      <w:r w:rsidR="002922E7">
        <w:t xml:space="preserve"> levels of renovation activity.</w:t>
      </w:r>
    </w:p>
    <w:p w14:paraId="71650E27" w14:textId="77777777" w:rsidR="002922E7" w:rsidRDefault="002922E7" w:rsidP="007D7A77">
      <w:pPr>
        <w:pStyle w:val="Sectorbody"/>
        <w:sectPr w:rsidR="002922E7" w:rsidSect="00C43CE5">
          <w:headerReference w:type="default" r:id="rId16"/>
          <w:pgSz w:w="11906" w:h="16838"/>
          <w:pgMar w:top="1390" w:right="849" w:bottom="1440" w:left="1134" w:header="708" w:footer="708" w:gutter="0"/>
          <w:cols w:space="708"/>
          <w:docGrid w:linePitch="360"/>
        </w:sectPr>
      </w:pPr>
    </w:p>
    <w:p w14:paraId="283B9D56" w14:textId="120FC02A" w:rsidR="002922E7" w:rsidRPr="00127D71" w:rsidRDefault="002922E7" w:rsidP="002E3B35">
      <w:pPr>
        <w:pStyle w:val="Sectorbody"/>
        <w:spacing w:after="200"/>
        <w:rPr>
          <w:b/>
        </w:rPr>
      </w:pPr>
      <w:r w:rsidRPr="00127D71">
        <w:rPr>
          <w:b/>
        </w:rPr>
        <w:lastRenderedPageBreak/>
        <w:t>Non-residential</w:t>
      </w:r>
    </w:p>
    <w:p w14:paraId="466414ED" w14:textId="227AED74" w:rsidR="00D009BC" w:rsidRDefault="00D009BC" w:rsidP="00D009BC">
      <w:pPr>
        <w:pStyle w:val="Sectorbody"/>
      </w:pPr>
      <w:r w:rsidRPr="000561CB">
        <w:t xml:space="preserve">Several large </w:t>
      </w:r>
      <w:r>
        <w:t xml:space="preserve">commercial </w:t>
      </w:r>
      <w:r w:rsidRPr="000561CB">
        <w:t xml:space="preserve">projects </w:t>
      </w:r>
      <w:r>
        <w:t>are now underway</w:t>
      </w:r>
      <w:r w:rsidRPr="000561CB">
        <w:t xml:space="preserve"> including the </w:t>
      </w:r>
      <w:r w:rsidR="001F7241">
        <w:t xml:space="preserve">$100 million </w:t>
      </w:r>
      <w:r w:rsidRPr="000561CB">
        <w:t>Parliament Square development</w:t>
      </w:r>
      <w:r w:rsidR="001F7241">
        <w:t xml:space="preserve"> in the Hobart CBD.</w:t>
      </w:r>
      <w:r>
        <w:t xml:space="preserve"> T</w:t>
      </w:r>
      <w:r w:rsidRPr="000561CB">
        <w:t xml:space="preserve">he Myer </w:t>
      </w:r>
      <w:r>
        <w:t>re</w:t>
      </w:r>
      <w:r w:rsidRPr="000561CB">
        <w:t>development</w:t>
      </w:r>
      <w:r w:rsidR="001F7241">
        <w:t>, the</w:t>
      </w:r>
      <w:r>
        <w:t xml:space="preserve"> new </w:t>
      </w:r>
      <w:r w:rsidRPr="000561CB">
        <w:t xml:space="preserve">hotel development at Macquarie No. 1 Wharf </w:t>
      </w:r>
      <w:r>
        <w:t>have been confirmed to start in the first quarter of 2014/15</w:t>
      </w:r>
      <w:r w:rsidR="00E55BAF">
        <w:t>, with the $7</w:t>
      </w:r>
      <w:r w:rsidR="001F7241">
        <w:t xml:space="preserve">5 million UTAS </w:t>
      </w:r>
      <w:r>
        <w:t xml:space="preserve">student residential complex in Melville </w:t>
      </w:r>
      <w:r w:rsidR="001F7241">
        <w:t xml:space="preserve">Street </w:t>
      </w:r>
      <w:r>
        <w:t>ha</w:t>
      </w:r>
      <w:r w:rsidR="001F7241">
        <w:t>s</w:t>
      </w:r>
      <w:r>
        <w:t xml:space="preserve"> been approved for development</w:t>
      </w:r>
      <w:r w:rsidR="001F7241">
        <w:t xml:space="preserve"> due to start in the second half of 2014/15</w:t>
      </w:r>
      <w:r>
        <w:t xml:space="preserve">. </w:t>
      </w:r>
    </w:p>
    <w:p w14:paraId="7CBE8FF9" w14:textId="4699EB88" w:rsidR="009F6BFB" w:rsidRDefault="009F6BFB" w:rsidP="007D7A77">
      <w:pPr>
        <w:pStyle w:val="Sectorbody"/>
      </w:pPr>
      <w:r>
        <w:t xml:space="preserve">Investment in retirement living is </w:t>
      </w:r>
      <w:r w:rsidR="00D009BC">
        <w:t>another</w:t>
      </w:r>
      <w:r>
        <w:t xml:space="preserve"> positive note for the sector, </w:t>
      </w:r>
      <w:r w:rsidR="00362F77">
        <w:t xml:space="preserve">as is </w:t>
      </w:r>
      <w:r>
        <w:t>activity in the bulky goods retail sector</w:t>
      </w:r>
      <w:r w:rsidR="001F7241">
        <w:t xml:space="preserve"> including the recent completion of Bunnings stores in Launceston and Burnie, and additional stores to be developed in Glenorchy and Devonport.</w:t>
      </w:r>
      <w:r>
        <w:t xml:space="preserve"> </w:t>
      </w:r>
    </w:p>
    <w:p w14:paraId="35A63486" w14:textId="3ADE8A94" w:rsidR="009F6BFB" w:rsidRPr="00127D71" w:rsidRDefault="009F6BFB" w:rsidP="002E3B35">
      <w:pPr>
        <w:pStyle w:val="Sectorbody"/>
        <w:spacing w:after="200"/>
        <w:rPr>
          <w:b/>
        </w:rPr>
      </w:pPr>
      <w:r w:rsidRPr="00127D71">
        <w:rPr>
          <w:b/>
        </w:rPr>
        <w:t>Engineering</w:t>
      </w:r>
    </w:p>
    <w:p w14:paraId="4439D644" w14:textId="31654127" w:rsidR="009F6BFB" w:rsidRDefault="00362F77" w:rsidP="007D7A77">
      <w:pPr>
        <w:pStyle w:val="Sectorbody"/>
      </w:pPr>
      <w:r>
        <w:t xml:space="preserve">In mid-2014, </w:t>
      </w:r>
      <w:r w:rsidR="009F6BFB">
        <w:t xml:space="preserve">market conditions in </w:t>
      </w:r>
      <w:r w:rsidR="00FB09A4">
        <w:t>the engineering</w:t>
      </w:r>
      <w:r w:rsidR="009F6BFB">
        <w:t xml:space="preserve"> sector are subdued</w:t>
      </w:r>
      <w:r w:rsidR="008A23C5">
        <w:t>,</w:t>
      </w:r>
      <w:r w:rsidR="009F6BFB">
        <w:t xml:space="preserve"> following the completion of major civil projects including Brighton, Dilston and Kingston bypasses and the Brighton Transport Hub. Looking forward, there are several government</w:t>
      </w:r>
      <w:r w:rsidR="008A23C5">
        <w:t>-</w:t>
      </w:r>
      <w:r w:rsidR="009F6BFB">
        <w:t>based capital works programs for roads and bridges underway</w:t>
      </w:r>
      <w:r w:rsidR="008A23C5">
        <w:t>,</w:t>
      </w:r>
      <w:r w:rsidR="009F6BFB">
        <w:t xml:space="preserve"> as well as anticipated mining and irrigation</w:t>
      </w:r>
      <w:r w:rsidR="008A23C5">
        <w:t>-</w:t>
      </w:r>
      <w:r w:rsidR="009F6BFB">
        <w:t>related projects.</w:t>
      </w:r>
    </w:p>
    <w:p w14:paraId="52CEAD5A" w14:textId="2DA0C498" w:rsidR="00C43CE5" w:rsidRDefault="009F6BFB" w:rsidP="007D7A77">
      <w:pPr>
        <w:pStyle w:val="Sectorbody"/>
        <w:spacing w:after="0"/>
      </w:pPr>
      <w:r>
        <w:t>The engin</w:t>
      </w:r>
      <w:r w:rsidR="00372CEC">
        <w:t>eering sector is highly capital-</w:t>
      </w:r>
      <w:r>
        <w:t>intensive</w:t>
      </w:r>
      <w:r w:rsidR="008A23C5">
        <w:t>,</w:t>
      </w:r>
      <w:r>
        <w:t xml:space="preserve"> due to the requirement for specialised construction machinery and associated equipment. This results in it being less flexible and </w:t>
      </w:r>
      <w:r w:rsidR="00372CEC">
        <w:t xml:space="preserve">less </w:t>
      </w:r>
      <w:r>
        <w:t>able to sustain periods of low activity</w:t>
      </w:r>
      <w:r w:rsidR="008A23C5">
        <w:t>.</w:t>
      </w:r>
    </w:p>
    <w:p w14:paraId="6E6827A4" w14:textId="77777777" w:rsidR="00C43CE5" w:rsidRDefault="00C43CE5" w:rsidP="007D7A77">
      <w:pPr>
        <w:pStyle w:val="Sectorbody"/>
        <w:spacing w:before="0" w:after="0"/>
      </w:pPr>
    </w:p>
    <w:p w14:paraId="5B93F209" w14:textId="5648821C" w:rsidR="00C43CE5" w:rsidRDefault="00C43CE5" w:rsidP="007D7A77">
      <w:pPr>
        <w:pStyle w:val="Heading2"/>
        <w:spacing w:before="480"/>
      </w:pPr>
      <w:r>
        <w:rPr>
          <w:noProof/>
          <w:lang w:eastAsia="en-AU"/>
        </w:rPr>
        <mc:AlternateContent>
          <mc:Choice Requires="wpg">
            <w:drawing>
              <wp:anchor distT="0" distB="0" distL="114300" distR="114300" simplePos="0" relativeHeight="251658241" behindDoc="0" locked="0" layoutInCell="1" allowOverlap="1" wp14:anchorId="618116A8" wp14:editId="53F80F19">
                <wp:simplePos x="0" y="0"/>
                <wp:positionH relativeFrom="column">
                  <wp:posOffset>-294788</wp:posOffset>
                </wp:positionH>
                <wp:positionV relativeFrom="paragraph">
                  <wp:posOffset>-46266</wp:posOffset>
                </wp:positionV>
                <wp:extent cx="6687879" cy="276446"/>
                <wp:effectExtent l="0" t="0" r="0" b="0"/>
                <wp:wrapNone/>
                <wp:docPr id="17" name="Group 17"/>
                <wp:cNvGraphicFramePr/>
                <a:graphic xmlns:a="http://schemas.openxmlformats.org/drawingml/2006/main">
                  <a:graphicData uri="http://schemas.microsoft.com/office/word/2010/wordprocessingGroup">
                    <wpg:wgp>
                      <wpg:cNvGrpSpPr/>
                      <wpg:grpSpPr>
                        <a:xfrm>
                          <a:off x="0" y="0"/>
                          <a:ext cx="6687879" cy="276446"/>
                          <a:chOff x="-15598" y="0"/>
                          <a:chExt cx="6559521" cy="278296"/>
                        </a:xfrm>
                      </wpg:grpSpPr>
                      <wps:wsp>
                        <wps:cNvPr id="18" name="Rectangle 18"/>
                        <wps:cNvSpPr/>
                        <wps:spPr>
                          <a:xfrm>
                            <a:off x="0" y="23854"/>
                            <a:ext cx="6543923" cy="198783"/>
                          </a:xfrm>
                          <a:prstGeom prst="rect">
                            <a:avLst/>
                          </a:prstGeom>
                          <a:gradFill flip="none" rotWithShape="1">
                            <a:gsLst>
                              <a:gs pos="0">
                                <a:schemeClr val="accent2">
                                  <a:lumMod val="60000"/>
                                  <a:lumOff val="40000"/>
                                  <a:tint val="66000"/>
                                  <a:satMod val="160000"/>
                                </a:schemeClr>
                              </a:gs>
                              <a:gs pos="50000">
                                <a:schemeClr val="accent2">
                                  <a:lumMod val="60000"/>
                                  <a:lumOff val="40000"/>
                                  <a:tint val="44500"/>
                                  <a:satMod val="160000"/>
                                </a:schemeClr>
                              </a:gs>
                              <a:gs pos="100000">
                                <a:schemeClr val="accent2">
                                  <a:lumMod val="60000"/>
                                  <a:lumOff val="40000"/>
                                  <a:tint val="23500"/>
                                  <a:satMod val="16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2"/>
                        <wps:cNvSpPr txBox="1">
                          <a:spLocks noChangeArrowheads="1"/>
                        </wps:cNvSpPr>
                        <wps:spPr bwMode="auto">
                          <a:xfrm>
                            <a:off x="-15598" y="0"/>
                            <a:ext cx="2552369" cy="278296"/>
                          </a:xfrm>
                          <a:prstGeom prst="rect">
                            <a:avLst/>
                          </a:prstGeom>
                          <a:noFill/>
                          <a:ln w="9525">
                            <a:noFill/>
                            <a:miter lim="800000"/>
                            <a:headEnd/>
                            <a:tailEnd/>
                          </a:ln>
                        </wps:spPr>
                        <wps:txbx>
                          <w:txbxContent>
                            <w:p w14:paraId="47972367" w14:textId="5B3C6905" w:rsidR="005048C5" w:rsidRPr="0058406A" w:rsidRDefault="005048C5" w:rsidP="009F6BFB">
                              <w:pPr>
                                <w:spacing w:after="0"/>
                                <w:rPr>
                                  <w:rFonts w:ascii="Gill Sans MT" w:hAnsi="Gill Sans MT"/>
                                  <w:b/>
                                </w:rPr>
                              </w:pPr>
                              <w:r>
                                <w:rPr>
                                  <w:rFonts w:ascii="Gill Sans MT" w:hAnsi="Gill Sans MT"/>
                                  <w:b/>
                                </w:rPr>
                                <w:t>Strategy summary</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618116A8" id="Group 17" o:spid="_x0000_s1029" style="position:absolute;left:0;text-align:left;margin-left:-23.2pt;margin-top:-3.65pt;width:526.6pt;height:21.75pt;z-index:251658241;mso-width-relative:margin" coordorigin="-155" coordsize="65595,2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">
                <v:rect id="Rectangle 18" o:spid="_x0000_s1030" style="position:absolute;top:238;width:65439;height:1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B8MA&#10;AADbAAAADwAAAGRycy9kb3ducmV2LnhtbESPQWvCQBCF7wX/wzKCl1A3epCSukoVhF61Ij2O2Wmy&#10;NDsbs1tN/PWdg+BthvfmvW+W69436kpddIENzKY5KOIyWMeVgePX7vUNVEzIFpvAZGCgCOvV6GWJ&#10;hQ033tP1kColIRwLNFCn1BZax7Imj3EaWmLRfkLnMcnaVdp2eJNw3+h5ni+0R8fSUGNL25rK38Of&#10;N7A5f2feLbLNvbxs/fm0c9kQBmMm4/7jHVSiPj3Nj+tPK/gCK7/IAHr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B8MAAADbAAAADwAAAAAAAAAAAAAAAACYAgAAZHJzL2Rv&#10;d25yZXYueG1sUEsFBgAAAAAEAAQA9QAAAIgDAAAAAA==&#10;" fillcolor="#d99594 [1941]" stroked="f" strokeweight="2pt">
                  <v:fill color2="#d99594 [1941]" rotate="t" angle="90" colors="0 #f2b8b6;.5 #f6d2d1;1 #fae8e8" focus="100%" type="gradient"/>
                </v:rect>
                <v:shape id="_x0000_s1031" type="#_x0000_t202" style="position:absolute;left:-155;width:25522;height:2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14:paraId="47972367" w14:textId="5B3C6905" w:rsidR="005048C5" w:rsidRPr="0058406A" w:rsidRDefault="005048C5" w:rsidP="009F6BFB">
                        <w:pPr>
                          <w:spacing w:after="0"/>
                          <w:rPr>
                            <w:rFonts w:ascii="Gill Sans MT" w:hAnsi="Gill Sans MT"/>
                            <w:b/>
                          </w:rPr>
                        </w:pPr>
                        <w:r>
                          <w:rPr>
                            <w:rFonts w:ascii="Gill Sans MT" w:hAnsi="Gill Sans MT"/>
                            <w:b/>
                          </w:rPr>
                          <w:t>Strategy summary</w:t>
                        </w:r>
                      </w:p>
                    </w:txbxContent>
                  </v:textbox>
                </v:shape>
              </v:group>
            </w:pict>
          </mc:Fallback>
        </mc:AlternateContent>
      </w:r>
      <w:r w:rsidR="000B667B">
        <w:t>Industry s</w:t>
      </w:r>
      <w:r>
        <w:t>trategy</w:t>
      </w:r>
    </w:p>
    <w:p w14:paraId="55B93AB4" w14:textId="2D0B3A3C" w:rsidR="00C43CE5" w:rsidRDefault="00C43CE5" w:rsidP="007D7A77">
      <w:pPr>
        <w:pStyle w:val="Sectorbody"/>
        <w:spacing w:before="120" w:after="120"/>
      </w:pPr>
      <w:r>
        <w:t>The following priorities have been identified by industry</w:t>
      </w:r>
      <w:r w:rsidR="00FD21DE">
        <w:t>:</w:t>
      </w:r>
    </w:p>
    <w:p w14:paraId="3E0DF9C3" w14:textId="6B0AC0A6" w:rsidR="00C43CE5" w:rsidRPr="00127D71" w:rsidRDefault="00C43CE5" w:rsidP="007D7A77">
      <w:pPr>
        <w:pStyle w:val="Sectorbody"/>
        <w:spacing w:after="120"/>
        <w:rPr>
          <w:b/>
        </w:rPr>
      </w:pPr>
      <w:r w:rsidRPr="00127D71">
        <w:rPr>
          <w:b/>
        </w:rPr>
        <w:t xml:space="preserve">Residential </w:t>
      </w:r>
      <w:r w:rsidR="008A23C5" w:rsidRPr="00127D71">
        <w:rPr>
          <w:b/>
        </w:rPr>
        <w:t>b</w:t>
      </w:r>
      <w:r w:rsidR="002E3B35">
        <w:rPr>
          <w:b/>
        </w:rPr>
        <w:t>uilding</w:t>
      </w:r>
    </w:p>
    <w:p w14:paraId="393376AC" w14:textId="3F1F834E" w:rsidR="00C43CE5" w:rsidRDefault="008A23C5" w:rsidP="007D7A77">
      <w:pPr>
        <w:pStyle w:val="Sectorbodydotpoints"/>
      </w:pPr>
      <w:r>
        <w:t>d</w:t>
      </w:r>
      <w:r w:rsidR="00C43CE5">
        <w:t xml:space="preserve">evelop a </w:t>
      </w:r>
      <w:r>
        <w:t>s</w:t>
      </w:r>
      <w:r w:rsidR="00C43CE5">
        <w:t>tate population growth strategy, including the marketing of Tasmania</w:t>
      </w:r>
      <w:r w:rsidR="00F82484">
        <w:t xml:space="preserve"> to boost economic growth and building demand</w:t>
      </w:r>
      <w:r w:rsidR="00C43CE5">
        <w:t xml:space="preserve"> </w:t>
      </w:r>
    </w:p>
    <w:p w14:paraId="065C6D3E" w14:textId="26EBD8A9" w:rsidR="00C43CE5" w:rsidRDefault="008A23C5" w:rsidP="007D7A77">
      <w:pPr>
        <w:pStyle w:val="Sectorbodydotpoints"/>
      </w:pPr>
      <w:r>
        <w:t>e</w:t>
      </w:r>
      <w:r w:rsidR="00C43CE5">
        <w:t>nsure a competitive business operating environment, including tax, infrastructure and regulation, to support affordable housing</w:t>
      </w:r>
    </w:p>
    <w:p w14:paraId="22D7A550" w14:textId="764CD73A" w:rsidR="00C43CE5" w:rsidRDefault="008A23C5" w:rsidP="007D7A77">
      <w:pPr>
        <w:pStyle w:val="Sectorbodydotpoints"/>
      </w:pPr>
      <w:r>
        <w:t>s</w:t>
      </w:r>
      <w:r w:rsidR="00C43CE5">
        <w:t>upport regional land use strategies to provide direction for development</w:t>
      </w:r>
    </w:p>
    <w:p w14:paraId="45EDB3F8" w14:textId="2FB33229" w:rsidR="00C43CE5" w:rsidRDefault="008A23C5" w:rsidP="007D7A77">
      <w:pPr>
        <w:pStyle w:val="Sectorbodydotpoints"/>
      </w:pPr>
      <w:r>
        <w:t>m</w:t>
      </w:r>
      <w:r w:rsidR="00C43CE5">
        <w:t>onitor land supply with greater regional strategic planning</w:t>
      </w:r>
    </w:p>
    <w:p w14:paraId="4B1E1CFD" w14:textId="13363E05" w:rsidR="00C43CE5" w:rsidRDefault="00F1120B" w:rsidP="007D7A77">
      <w:pPr>
        <w:pStyle w:val="Sectorbodydotpoints"/>
      </w:pPr>
      <w:r>
        <w:t>m</w:t>
      </w:r>
      <w:r w:rsidR="00C43CE5">
        <w:t>onitor and improve planning</w:t>
      </w:r>
      <w:r w:rsidR="00372CEC">
        <w:t xml:space="preserve"> and </w:t>
      </w:r>
      <w:r w:rsidR="00C43CE5">
        <w:t xml:space="preserve">building approval processes (consistency </w:t>
      </w:r>
      <w:r>
        <w:t>and</w:t>
      </w:r>
      <w:r w:rsidR="00C43CE5">
        <w:t xml:space="preserve"> simplicity</w:t>
      </w:r>
      <w:r w:rsidR="00372CEC">
        <w:t>) minimising red and green tape</w:t>
      </w:r>
    </w:p>
    <w:p w14:paraId="5D4B0554" w14:textId="77777777" w:rsidR="00C43CE5" w:rsidRPr="00372CEC" w:rsidRDefault="00C43CE5" w:rsidP="007D7A77">
      <w:pPr>
        <w:pStyle w:val="Sectorbodydotpoints"/>
      </w:pPr>
      <w:r w:rsidRPr="00372CEC">
        <w:t>Investigate ways to reduce utilities headwork costs.</w:t>
      </w:r>
    </w:p>
    <w:p w14:paraId="2218452E" w14:textId="5782549B" w:rsidR="00C43CE5" w:rsidRPr="00127D71" w:rsidRDefault="00C43CE5" w:rsidP="007D7A77">
      <w:pPr>
        <w:pStyle w:val="Sectorbody"/>
        <w:spacing w:after="120"/>
        <w:rPr>
          <w:b/>
        </w:rPr>
      </w:pPr>
      <w:r w:rsidRPr="00127D71">
        <w:rPr>
          <w:b/>
        </w:rPr>
        <w:t>Non-</w:t>
      </w:r>
      <w:r w:rsidR="00F1120B" w:rsidRPr="00127D71">
        <w:rPr>
          <w:b/>
        </w:rPr>
        <w:t>r</w:t>
      </w:r>
      <w:r w:rsidRPr="00127D71">
        <w:rPr>
          <w:b/>
        </w:rPr>
        <w:t xml:space="preserve">esidential </w:t>
      </w:r>
      <w:r w:rsidR="00F1120B" w:rsidRPr="00127D71">
        <w:rPr>
          <w:b/>
        </w:rPr>
        <w:t>b</w:t>
      </w:r>
      <w:r w:rsidR="002E3B35">
        <w:rPr>
          <w:b/>
        </w:rPr>
        <w:t>uilding</w:t>
      </w:r>
    </w:p>
    <w:p w14:paraId="1822AB23" w14:textId="5B916B57" w:rsidR="00C43CE5" w:rsidRDefault="00F1120B" w:rsidP="007D7A77">
      <w:pPr>
        <w:pStyle w:val="Sectorbodydotpoints"/>
      </w:pPr>
      <w:r>
        <w:t>c</w:t>
      </w:r>
      <w:r w:rsidR="00C43CE5">
        <w:t xml:space="preserve">ontinue planning reform and restructuring to include planning assessments, tax reform and reduction of administrative burden of compliance with regulation </w:t>
      </w:r>
    </w:p>
    <w:p w14:paraId="050C24C0" w14:textId="2C8CF828" w:rsidR="00C43CE5" w:rsidRDefault="00F1120B" w:rsidP="007D7A77">
      <w:pPr>
        <w:pStyle w:val="Sectorbodydotpoints"/>
      </w:pPr>
      <w:r>
        <w:t>s</w:t>
      </w:r>
      <w:r w:rsidR="00C43CE5">
        <w:t>mooth out the delivery of public investment over time</w:t>
      </w:r>
    </w:p>
    <w:p w14:paraId="3DEA94B8" w14:textId="5203E71B" w:rsidR="00C43CE5" w:rsidRDefault="00F1120B" w:rsidP="007D7A77">
      <w:pPr>
        <w:pStyle w:val="Sectorbodydotpoints"/>
      </w:pPr>
      <w:r>
        <w:t>m</w:t>
      </w:r>
      <w:r w:rsidR="00C43CE5">
        <w:t>onitor land supply and release</w:t>
      </w:r>
    </w:p>
    <w:p w14:paraId="6B582ECF" w14:textId="64F857D4" w:rsidR="00C43CE5" w:rsidRDefault="00F1120B" w:rsidP="007D7A77">
      <w:pPr>
        <w:pStyle w:val="Sectorbodydotpoints"/>
      </w:pPr>
      <w:r>
        <w:t>c</w:t>
      </w:r>
      <w:r w:rsidR="00C43CE5">
        <w:t>onsider interim planning a</w:t>
      </w:r>
      <w:r w:rsidR="00372CEC">
        <w:t>nd design to create development-</w:t>
      </w:r>
      <w:r w:rsidR="00C43CE5">
        <w:t>ready sites</w:t>
      </w:r>
    </w:p>
    <w:p w14:paraId="31089E7B" w14:textId="1C53F592" w:rsidR="00C43CE5" w:rsidRDefault="00F1120B" w:rsidP="007D7A77">
      <w:pPr>
        <w:pStyle w:val="Sectorbodydotpoints"/>
      </w:pPr>
      <w:r>
        <w:t>i</w:t>
      </w:r>
      <w:r w:rsidR="00C43CE5">
        <w:t>nvestigate ways to reduce utilities headwork costs</w:t>
      </w:r>
    </w:p>
    <w:p w14:paraId="74672A0E" w14:textId="77777777" w:rsidR="00C43CE5" w:rsidRDefault="00C43CE5" w:rsidP="007D7A77">
      <w:pPr>
        <w:pStyle w:val="Sectorbodydotpoints"/>
        <w:sectPr w:rsidR="00C43CE5" w:rsidSect="00C43CE5">
          <w:headerReference w:type="default" r:id="rId17"/>
          <w:pgSz w:w="11906" w:h="16838"/>
          <w:pgMar w:top="820" w:right="849" w:bottom="1440" w:left="1134" w:header="708" w:footer="708" w:gutter="0"/>
          <w:cols w:space="708"/>
          <w:docGrid w:linePitch="360"/>
        </w:sectPr>
      </w:pPr>
    </w:p>
    <w:p w14:paraId="6A19AB3A" w14:textId="19FA5781" w:rsidR="002922E7" w:rsidRPr="00127D71" w:rsidRDefault="002922E7" w:rsidP="007D7A77">
      <w:pPr>
        <w:pStyle w:val="Sectorbody"/>
        <w:spacing w:after="120"/>
        <w:rPr>
          <w:b/>
        </w:rPr>
      </w:pPr>
      <w:r w:rsidRPr="00127D71">
        <w:rPr>
          <w:b/>
        </w:rPr>
        <w:lastRenderedPageBreak/>
        <w:t xml:space="preserve">Engineering </w:t>
      </w:r>
      <w:r w:rsidR="00901679" w:rsidRPr="00127D71">
        <w:rPr>
          <w:b/>
        </w:rPr>
        <w:t>c</w:t>
      </w:r>
      <w:r w:rsidRPr="00127D71">
        <w:rPr>
          <w:b/>
        </w:rPr>
        <w:t>onstruction (does not include maintenance)</w:t>
      </w:r>
    </w:p>
    <w:p w14:paraId="75CAB0BA" w14:textId="2727FF7E" w:rsidR="002922E7" w:rsidRDefault="00901679" w:rsidP="007D7A77">
      <w:pPr>
        <w:pStyle w:val="Sectorbodydotpoints"/>
      </w:pPr>
      <w:r>
        <w:t>a</w:t>
      </w:r>
      <w:r w:rsidR="002922E7">
        <w:t xml:space="preserve">ddress the </w:t>
      </w:r>
      <w:r>
        <w:t>s</w:t>
      </w:r>
      <w:r w:rsidR="002922E7">
        <w:t>tate procurement policy (projects to be released in smaller packages capable of being supplied from Tasmanian firms)</w:t>
      </w:r>
    </w:p>
    <w:p w14:paraId="5CDBD83C" w14:textId="4C5C9B42" w:rsidR="00C43CE5" w:rsidRDefault="00901679" w:rsidP="007D7A77">
      <w:pPr>
        <w:pStyle w:val="Sectorbodydotpoints"/>
      </w:pPr>
      <w:r>
        <w:t>r</w:t>
      </w:r>
      <w:r w:rsidR="00C43CE5">
        <w:t xml:space="preserve">etain </w:t>
      </w:r>
      <w:r>
        <w:t>Government</w:t>
      </w:r>
      <w:r w:rsidR="00C43CE5">
        <w:t xml:space="preserve"> funding for t</w:t>
      </w:r>
      <w:r w:rsidR="00372CEC">
        <w:t>raining with an emphasis on non-traditional</w:t>
      </w:r>
      <w:r w:rsidR="00C43CE5">
        <w:t xml:space="preserve"> (civil) trades</w:t>
      </w:r>
    </w:p>
    <w:p w14:paraId="7903528E" w14:textId="483917DC" w:rsidR="00C43CE5" w:rsidRDefault="00901679" w:rsidP="007D7A77">
      <w:pPr>
        <w:pStyle w:val="Sectorbodydotpoints"/>
      </w:pPr>
      <w:r>
        <w:t>d</w:t>
      </w:r>
      <w:r w:rsidR="00C43CE5">
        <w:t>evelop an infrastructure plan</w:t>
      </w:r>
    </w:p>
    <w:p w14:paraId="0F830CD9" w14:textId="4C32361A" w:rsidR="00C43CE5" w:rsidRDefault="00901679" w:rsidP="007D7A77">
      <w:pPr>
        <w:pStyle w:val="Sectorbodydotpoints"/>
      </w:pPr>
      <w:r>
        <w:t>r</w:t>
      </w:r>
      <w:r w:rsidR="00C43CE5">
        <w:t>educe layers of government administration (approvals)</w:t>
      </w:r>
    </w:p>
    <w:p w14:paraId="31908CAB" w14:textId="17BD2386" w:rsidR="00C43CE5" w:rsidRPr="00127D71" w:rsidRDefault="00901679" w:rsidP="007D7A77">
      <w:pPr>
        <w:pStyle w:val="Sectorbodydotpoints"/>
      </w:pPr>
      <w:r w:rsidRPr="00127D71">
        <w:t>p</w:t>
      </w:r>
      <w:r w:rsidR="00C43CE5" w:rsidRPr="00127D71">
        <w:t>ursue a sound fiscal strategy that ensures a long-term</w:t>
      </w:r>
      <w:r w:rsidR="00372CEC">
        <w:t>,</w:t>
      </w:r>
      <w:r w:rsidR="00C43CE5" w:rsidRPr="00127D71">
        <w:t xml:space="preserve"> sustainable State Budget</w:t>
      </w:r>
    </w:p>
    <w:p w14:paraId="11713991" w14:textId="59783841" w:rsidR="00C43CE5" w:rsidRDefault="00901679" w:rsidP="007D7A77">
      <w:pPr>
        <w:pStyle w:val="Sectorbodydotpoints"/>
      </w:pPr>
      <w:r>
        <w:t>i</w:t>
      </w:r>
      <w:r w:rsidR="00C43CE5">
        <w:t xml:space="preserve">nvestigate ways to reduce utilities headwork costs. </w:t>
      </w:r>
    </w:p>
    <w:p w14:paraId="3FBA210E" w14:textId="04D2C523" w:rsidR="00C43CE5" w:rsidRDefault="000B667B" w:rsidP="00372CEC">
      <w:pPr>
        <w:pStyle w:val="Heading2"/>
        <w:spacing w:before="240"/>
      </w:pPr>
      <w:r>
        <w:t xml:space="preserve">Tasmanian Government </w:t>
      </w:r>
      <w:r w:rsidR="00372CEC">
        <w:t>strategy</w:t>
      </w:r>
    </w:p>
    <w:p w14:paraId="6292E476" w14:textId="02FCA1D4" w:rsidR="00C43CE5" w:rsidRDefault="007305B1" w:rsidP="006333B6">
      <w:pPr>
        <w:pStyle w:val="Sectorbody"/>
        <w:spacing w:before="120" w:after="120"/>
      </w:pPr>
      <w:r>
        <w:t>P</w:t>
      </w:r>
      <w:r w:rsidR="00C43CE5">
        <w:t>rimary focusses in supporting the building and construction industry include:</w:t>
      </w:r>
    </w:p>
    <w:p w14:paraId="77997770" w14:textId="77777777" w:rsidR="00D25512" w:rsidRDefault="00D25512" w:rsidP="00D25512">
      <w:pPr>
        <w:pStyle w:val="Sectorbodydotpoints"/>
      </w:pPr>
      <w:r>
        <w:t>implementing a Headworks holiday for developers, including water and sewerage connections</w:t>
      </w:r>
    </w:p>
    <w:p w14:paraId="1FF5A4E3" w14:textId="6EE0F237" w:rsidR="00372CEC" w:rsidRDefault="006333B6" w:rsidP="006333B6">
      <w:pPr>
        <w:pStyle w:val="Sectorbodydotpoints"/>
      </w:pPr>
      <w:r>
        <w:t>appointing a</w:t>
      </w:r>
      <w:r w:rsidR="00BC3CE1">
        <w:t xml:space="preserve"> Planning Reform Taskforce </w:t>
      </w:r>
      <w:r>
        <w:t xml:space="preserve">to deliver one, </w:t>
      </w:r>
      <w:r w:rsidR="00372CEC">
        <w:t>statewide planning scheme</w:t>
      </w:r>
    </w:p>
    <w:p w14:paraId="2616B060" w14:textId="77777777" w:rsidR="00372CEC" w:rsidRDefault="00372CEC" w:rsidP="00372CEC">
      <w:pPr>
        <w:pStyle w:val="Sectorbodydotpoints"/>
      </w:pPr>
      <w:r>
        <w:t>establishing the Office of the Coordinator General tasked with reducing the administrative burden on business and investment</w:t>
      </w:r>
    </w:p>
    <w:p w14:paraId="468109E3" w14:textId="77777777" w:rsidR="00372CEC" w:rsidRDefault="00372CEC" w:rsidP="00372CEC">
      <w:pPr>
        <w:pStyle w:val="Sectorbodydotpoints"/>
      </w:pPr>
      <w:r>
        <w:t>regulating the training environment and encouraging industry skill development</w:t>
      </w:r>
    </w:p>
    <w:p w14:paraId="4F052B0D" w14:textId="77777777" w:rsidR="002E62A7" w:rsidRDefault="002E62A7" w:rsidP="002E62A7">
      <w:pPr>
        <w:pStyle w:val="Sectorbodydotpoints"/>
      </w:pPr>
      <w:r>
        <w:t xml:space="preserve">introducing a revised Tasmanian Government procurement policy to benefit Tasmanian businesses </w:t>
      </w:r>
      <w:bookmarkStart w:id="0" w:name="_GoBack"/>
      <w:bookmarkEnd w:id="0"/>
    </w:p>
    <w:p w14:paraId="2DE0D2A9" w14:textId="77777777" w:rsidR="002E62A7" w:rsidRDefault="002E62A7" w:rsidP="002E62A7">
      <w:pPr>
        <w:pStyle w:val="Sectorbodydotpoints"/>
      </w:pPr>
      <w:r>
        <w:t>managing and regulating the land-use planning environment in conjunction with local government</w:t>
      </w:r>
    </w:p>
    <w:p w14:paraId="4FD2ABBB" w14:textId="77777777" w:rsidR="002E62A7" w:rsidRDefault="002E62A7" w:rsidP="002E62A7">
      <w:pPr>
        <w:pStyle w:val="Sectorbodydotpoints"/>
      </w:pPr>
      <w:r>
        <w:t>implementing online planning applications and review of appeal charges</w:t>
      </w:r>
    </w:p>
    <w:p w14:paraId="14031C41" w14:textId="1F543792" w:rsidR="002E62A7" w:rsidRDefault="002E62A7" w:rsidP="002E62A7">
      <w:pPr>
        <w:pStyle w:val="Sectorbodydotpoints"/>
      </w:pPr>
      <w:r>
        <w:t>supporting the continuation of a representative industry body to provide input to government</w:t>
      </w:r>
      <w:r w:rsidR="009E3D48">
        <w:t>.</w:t>
      </w:r>
    </w:p>
    <w:p w14:paraId="728D46B5" w14:textId="672014EC" w:rsidR="000E4476" w:rsidRPr="00D60D44" w:rsidRDefault="000E4476" w:rsidP="007D7A77">
      <w:pPr>
        <w:pStyle w:val="Sectorbody"/>
      </w:pPr>
    </w:p>
    <w:sectPr w:rsidR="000E4476" w:rsidRPr="00D60D44" w:rsidSect="00C43CE5">
      <w:pgSz w:w="11906" w:h="16838"/>
      <w:pgMar w:top="820" w:right="849"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C6F80" w14:textId="77777777" w:rsidR="005048C5" w:rsidRDefault="005048C5" w:rsidP="00C167E3">
      <w:pPr>
        <w:spacing w:after="0" w:line="240" w:lineRule="auto"/>
      </w:pPr>
      <w:r>
        <w:separator/>
      </w:r>
    </w:p>
  </w:endnote>
  <w:endnote w:type="continuationSeparator" w:id="0">
    <w:p w14:paraId="5A010D91" w14:textId="77777777" w:rsidR="005048C5" w:rsidRDefault="005048C5" w:rsidP="00C167E3">
      <w:pPr>
        <w:spacing w:after="0" w:line="240" w:lineRule="auto"/>
      </w:pPr>
      <w:r>
        <w:continuationSeparator/>
      </w:r>
    </w:p>
  </w:endnote>
  <w:endnote w:type="continuationNotice" w:id="1">
    <w:p w14:paraId="2C5B7465" w14:textId="77777777" w:rsidR="003F0C1F" w:rsidRDefault="003F0C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illSans Light">
    <w:altName w:val="Century Gothic"/>
    <w:charset w:val="00"/>
    <w:family w:val="swiss"/>
    <w:pitch w:val="variable"/>
    <w:sig w:usb0="00000001"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8782672"/>
      <w:docPartObj>
        <w:docPartGallery w:val="Page Numbers (Bottom of Page)"/>
        <w:docPartUnique/>
      </w:docPartObj>
    </w:sdtPr>
    <w:sdtEndPr>
      <w:rPr>
        <w:noProof/>
      </w:rPr>
    </w:sdtEndPr>
    <w:sdtContent>
      <w:p w14:paraId="430E4C95" w14:textId="008097A3" w:rsidR="005048C5" w:rsidRDefault="00EF6B02" w:rsidP="0020010C">
        <w:pPr>
          <w:pStyle w:val="Footer"/>
          <w:ind w:left="-284"/>
        </w:pPr>
        <w:r>
          <w:rPr>
            <w:noProof/>
            <w:lang w:eastAsia="en-AU"/>
          </w:rPr>
          <mc:AlternateContent>
            <mc:Choice Requires="wps">
              <w:drawing>
                <wp:anchor distT="0" distB="0" distL="114300" distR="114300" simplePos="0" relativeHeight="251653631" behindDoc="1" locked="0" layoutInCell="1" allowOverlap="1" wp14:anchorId="6045EB0E" wp14:editId="30FCE138">
                  <wp:simplePos x="0" y="0"/>
                  <wp:positionH relativeFrom="column">
                    <wp:posOffset>-720090</wp:posOffset>
                  </wp:positionH>
                  <wp:positionV relativeFrom="paragraph">
                    <wp:posOffset>-1906</wp:posOffset>
                  </wp:positionV>
                  <wp:extent cx="7543800" cy="600075"/>
                  <wp:effectExtent l="0" t="0" r="0" b="9525"/>
                  <wp:wrapNone/>
                  <wp:docPr id="9" name="Rectangle 9"/>
                  <wp:cNvGraphicFramePr/>
                  <a:graphic xmlns:a="http://schemas.openxmlformats.org/drawingml/2006/main">
                    <a:graphicData uri="http://schemas.microsoft.com/office/word/2010/wordprocessingShape">
                      <wps:wsp>
                        <wps:cNvSpPr/>
                        <wps:spPr>
                          <a:xfrm>
                            <a:off x="0" y="0"/>
                            <a:ext cx="7543800" cy="600075"/>
                          </a:xfrm>
                          <a:prstGeom prst="rect">
                            <a:avLst/>
                          </a:prstGeom>
                          <a:gradFill flip="none" rotWithShape="1">
                            <a:gsLst>
                              <a:gs pos="0">
                                <a:schemeClr val="accent2">
                                  <a:lumMod val="60000"/>
                                  <a:lumOff val="40000"/>
                                  <a:tint val="66000"/>
                                  <a:satMod val="160000"/>
                                </a:schemeClr>
                              </a:gs>
                              <a:gs pos="50000">
                                <a:schemeClr val="accent2">
                                  <a:lumMod val="60000"/>
                                  <a:lumOff val="40000"/>
                                  <a:tint val="44500"/>
                                  <a:satMod val="160000"/>
                                </a:schemeClr>
                              </a:gs>
                              <a:gs pos="100000">
                                <a:schemeClr val="accent2">
                                  <a:lumMod val="60000"/>
                                  <a:lumOff val="40000"/>
                                  <a:tint val="23500"/>
                                  <a:satMod val="16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5E6DB" id="Rectangle 9" o:spid="_x0000_s1026" style="position:absolute;margin-left:-56.7pt;margin-top:-.15pt;width:594pt;height:47.25pt;z-index:-2516628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" fillcolor="#d99594 [1941]" stroked="f" strokeweight="2pt">
                  <v:fill color2="#d99594 [1941]" rotate="t" angle="90" colors="0 #f2b8b6;.5 #f6d2d1;1 #fae8e8" focus="100%" type="gradient"/>
                </v:rect>
              </w:pict>
            </mc:Fallback>
          </mc:AlternateContent>
        </w:r>
        <w:r w:rsidR="00625EB3">
          <w:fldChar w:fldCharType="begin"/>
        </w:r>
        <w:r w:rsidR="00625EB3">
          <w:instrText xml:space="preserve"> PAGE   \* MERGEFORMAT </w:instrText>
        </w:r>
        <w:r w:rsidR="00625EB3">
          <w:fldChar w:fldCharType="separate"/>
        </w:r>
        <w:r w:rsidR="009E3D48">
          <w:rPr>
            <w:noProof/>
          </w:rPr>
          <w:t>2</w:t>
        </w:r>
        <w:r w:rsidR="00625EB3">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44748" w14:textId="77777777" w:rsidR="005048C5" w:rsidRDefault="005048C5" w:rsidP="00C167E3">
      <w:pPr>
        <w:spacing w:after="0" w:line="240" w:lineRule="auto"/>
      </w:pPr>
      <w:r>
        <w:separator/>
      </w:r>
    </w:p>
  </w:footnote>
  <w:footnote w:type="continuationSeparator" w:id="0">
    <w:p w14:paraId="3A10F0BF" w14:textId="77777777" w:rsidR="005048C5" w:rsidRDefault="005048C5" w:rsidP="00C167E3">
      <w:pPr>
        <w:spacing w:after="0" w:line="240" w:lineRule="auto"/>
      </w:pPr>
      <w:r>
        <w:continuationSeparator/>
      </w:r>
    </w:p>
  </w:footnote>
  <w:footnote w:type="continuationNotice" w:id="1">
    <w:p w14:paraId="55C1BDB0" w14:textId="77777777" w:rsidR="003F0C1F" w:rsidRDefault="003F0C1F">
      <w:pPr>
        <w:spacing w:after="0" w:line="240" w:lineRule="auto"/>
      </w:pPr>
    </w:p>
  </w:footnote>
  <w:footnote w:id="2">
    <w:p w14:paraId="7913DA5B" w14:textId="73541253" w:rsidR="00580221" w:rsidRDefault="00580221" w:rsidP="00580221">
      <w:pPr>
        <w:pStyle w:val="Sectorbody"/>
        <w:spacing w:after="120"/>
        <w:ind w:right="142"/>
      </w:pPr>
      <w:r>
        <w:rPr>
          <w:rStyle w:val="FootnoteReference"/>
        </w:rPr>
        <w:footnoteRef/>
      </w:r>
      <w:r>
        <w:t xml:space="preserve"> </w:t>
      </w:r>
      <w:r w:rsidRPr="00362F77">
        <w:rPr>
          <w:sz w:val="20"/>
        </w:rPr>
        <w:t xml:space="preserve">The Property Council (AEC Group, </w:t>
      </w:r>
      <w:r w:rsidRPr="00362F77">
        <w:rPr>
          <w:i/>
          <w:sz w:val="20"/>
        </w:rPr>
        <w:t>Economic Significance of the Property Industry to the Tasmanian Economy</w:t>
      </w:r>
      <w:r w:rsidRPr="00362F77">
        <w:rPr>
          <w:sz w:val="20"/>
        </w:rPr>
        <w:t xml:space="preserve">, 22 August 2011) considered a broader scope, which included developers, real estate agents and rentals, for the ‘property sector’ and estimated it to contribute $2.5 billion towards Gross State Product (or 10.9 per cent) and directly employ 21 000 persons.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B2263" w14:textId="5DF7FCA6" w:rsidR="005048C5" w:rsidRDefault="005048C5">
    <w:pPr>
      <w:pStyle w:val="Header"/>
    </w:pPr>
    <w:r>
      <w:rPr>
        <w:noProof/>
        <w:lang w:eastAsia="en-AU"/>
      </w:rPr>
      <mc:AlternateContent>
        <mc:Choice Requires="wps">
          <w:drawing>
            <wp:anchor distT="0" distB="0" distL="114300" distR="114300" simplePos="0" relativeHeight="251657222" behindDoc="0" locked="0" layoutInCell="1" allowOverlap="1" wp14:anchorId="39DD438C" wp14:editId="11E42F15">
              <wp:simplePos x="0" y="0"/>
              <wp:positionH relativeFrom="column">
                <wp:posOffset>2514600</wp:posOffset>
              </wp:positionH>
              <wp:positionV relativeFrom="paragraph">
                <wp:posOffset>-167336</wp:posOffset>
              </wp:positionV>
              <wp:extent cx="3677920" cy="519430"/>
              <wp:effectExtent l="0" t="0" r="1778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7920" cy="51943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a:ext>
                      </a:extLst>
                    </wps:spPr>
                    <wps:txbx>
                      <w:txbxContent>
                        <w:p w14:paraId="4199C754" w14:textId="19B9E87E" w:rsidR="005048C5" w:rsidRDefault="005048C5" w:rsidP="003E3BF6">
                          <w:pPr>
                            <w:jc w:val="right"/>
                            <w:rPr>
                              <w:rFonts w:ascii="Gill Sans MT" w:hAnsi="Gill Sans MT"/>
                              <w:sz w:val="30"/>
                              <w:szCs w:val="30"/>
                            </w:rPr>
                          </w:pPr>
                          <w:r>
                            <w:rPr>
                              <w:rFonts w:ascii="Gill Sans MT" w:hAnsi="Gill Sans MT"/>
                              <w:sz w:val="30"/>
                              <w:szCs w:val="30"/>
                            </w:rPr>
                            <w:t>Sector summary 2014</w:t>
                          </w:r>
                        </w:p>
                      </w:txbxContent>
                    </wps:txbx>
                    <wps:bodyPr rot="0" vert="horz" wrap="square" lIns="91440" tIns="45720" rIns="0" bIns="45720" anchor="t" anchorCtr="0" upright="1">
                      <a:noAutofit/>
                    </wps:bodyPr>
                  </wps:wsp>
                </a:graphicData>
              </a:graphic>
            </wp:anchor>
          </w:drawing>
        </mc:Choice>
        <mc:Fallback>
          <w:pict>
            <v:shapetype w14:anchorId="39DD438C" id="_x0000_t202" coordsize="21600,21600" o:spt="202" path="m,l,21600r21600,l21600,xe">
              <v:stroke joinstyle="miter"/>
              <v:path gradientshapeok="t" o:connecttype="rect"/>
            </v:shapetype>
            <v:shape id="Text Box 2" o:spid="_x0000_s1032" type="#_x0000_t202" style="position:absolute;margin-left:198pt;margin-top:-13.2pt;width:289.6pt;height:40.9pt;z-index:2516572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" filled="f" stroked="f">
              <v:textbox inset=",,0">
                <w:txbxContent>
                  <w:p w14:paraId="4199C754" w14:textId="19B9E87E" w:rsidR="005048C5" w:rsidRDefault="005048C5" w:rsidP="003E3BF6">
                    <w:pPr>
                      <w:jc w:val="right"/>
                      <w:rPr>
                        <w:rFonts w:ascii="Gill Sans MT" w:hAnsi="Gill Sans MT"/>
                        <w:sz w:val="30"/>
                        <w:szCs w:val="30"/>
                      </w:rPr>
                    </w:pPr>
                    <w:r>
                      <w:rPr>
                        <w:rFonts w:ascii="Gill Sans MT" w:hAnsi="Gill Sans MT"/>
                        <w:sz w:val="30"/>
                        <w:szCs w:val="30"/>
                      </w:rPr>
                      <w:t>Sector summary 2014</w:t>
                    </w:r>
                  </w:p>
                </w:txbxContent>
              </v:textbox>
            </v:shape>
          </w:pict>
        </mc:Fallback>
      </mc:AlternateContent>
    </w:r>
    <w:r>
      <w:rPr>
        <w:noProof/>
        <w:lang w:eastAsia="en-AU"/>
      </w:rPr>
      <mc:AlternateContent>
        <mc:Choice Requires="wps">
          <w:drawing>
            <wp:anchor distT="0" distB="0" distL="114300" distR="114300" simplePos="0" relativeHeight="251657221" behindDoc="0" locked="0" layoutInCell="1" allowOverlap="1" wp14:anchorId="40D33A0D" wp14:editId="79EEF3E5">
              <wp:simplePos x="0" y="0"/>
              <wp:positionH relativeFrom="column">
                <wp:posOffset>-476885</wp:posOffset>
              </wp:positionH>
              <wp:positionV relativeFrom="paragraph">
                <wp:posOffset>1512901</wp:posOffset>
              </wp:positionV>
              <wp:extent cx="6718852" cy="47707"/>
              <wp:effectExtent l="0" t="0" r="25400" b="28575"/>
              <wp:wrapNone/>
              <wp:docPr id="21" name="Rectangle 21"/>
              <wp:cNvGraphicFramePr/>
              <a:graphic xmlns:a="http://schemas.openxmlformats.org/drawingml/2006/main">
                <a:graphicData uri="http://schemas.microsoft.com/office/word/2010/wordprocessingShape">
                  <wps:wsp>
                    <wps:cNvSpPr/>
                    <wps:spPr>
                      <a:xfrm>
                        <a:off x="0" y="0"/>
                        <a:ext cx="6718852" cy="4770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9E55DB" id="Rectangle 21" o:spid="_x0000_s1026" style="position:absolute;margin-left:-37.55pt;margin-top:119.15pt;width:529.05pt;height:3.75pt;z-index:25165722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" fillcolor="white [3212]" strokecolor="white [3212]" strokeweight="2pt"/>
          </w:pict>
        </mc:Fallback>
      </mc:AlternateContent>
    </w:r>
    <w:r>
      <w:rPr>
        <w:noProof/>
        <w:lang w:eastAsia="en-AU"/>
      </w:rPr>
      <mc:AlternateContent>
        <mc:Choice Requires="wps">
          <w:drawing>
            <wp:anchor distT="0" distB="0" distL="114300" distR="114300" simplePos="0" relativeHeight="251657220" behindDoc="0" locked="0" layoutInCell="1" allowOverlap="1" wp14:anchorId="4F0D43CD" wp14:editId="5F0F8C07">
              <wp:simplePos x="0" y="0"/>
              <wp:positionH relativeFrom="column">
                <wp:posOffset>-476885</wp:posOffset>
              </wp:positionH>
              <wp:positionV relativeFrom="paragraph">
                <wp:posOffset>1525905</wp:posOffset>
              </wp:positionV>
              <wp:extent cx="2893695" cy="3657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695" cy="365760"/>
                      </a:xfrm>
                      <a:prstGeom prst="rect">
                        <a:avLst/>
                      </a:prstGeom>
                      <a:noFill/>
                      <a:ln w="9525">
                        <a:noFill/>
                        <a:miter lim="800000"/>
                        <a:headEnd/>
                        <a:tailEnd/>
                      </a:ln>
                    </wps:spPr>
                    <wps:txbx>
                      <w:txbxContent>
                        <w:p w14:paraId="5BC3E991" w14:textId="2EA0496C" w:rsidR="005048C5" w:rsidRPr="00627E03" w:rsidRDefault="005048C5" w:rsidP="00627E03">
                          <w:pPr>
                            <w:spacing w:after="0" w:line="240" w:lineRule="auto"/>
                            <w:rPr>
                              <w:rFonts w:ascii="Gill Sans MT" w:hAnsi="Gill Sans MT"/>
                              <w:sz w:val="40"/>
                            </w:rPr>
                          </w:pPr>
                          <w:r>
                            <w:rPr>
                              <w:rFonts w:ascii="Gill Sans MT" w:hAnsi="Gill Sans MT"/>
                              <w:sz w:val="40"/>
                            </w:rPr>
                            <w:t>Building and c</w:t>
                          </w:r>
                          <w:r w:rsidRPr="00627E03">
                            <w:rPr>
                              <w:rFonts w:ascii="Gill Sans MT" w:hAnsi="Gill Sans MT"/>
                              <w:sz w:val="40"/>
                            </w:rPr>
                            <w:t>onstruction</w:t>
                          </w:r>
                        </w:p>
                      </w:txbxContent>
                    </wps:txbx>
                    <wps:bodyPr rot="0" vert="horz" wrap="square" lIns="91440" tIns="45720" rIns="91440" bIns="45720" anchor="t" anchorCtr="0">
                      <a:noAutofit/>
                    </wps:bodyPr>
                  </wps:wsp>
                </a:graphicData>
              </a:graphic>
            </wp:anchor>
          </w:drawing>
        </mc:Choice>
        <mc:Fallback>
          <w:pict>
            <v:shape w14:anchorId="4F0D43CD" id="_x0000_s1033" type="#_x0000_t202" style="position:absolute;margin-left:-37.55pt;margin-top:120.15pt;width:227.85pt;height:28.8pt;z-index:2516572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" filled="f" stroked="f">
              <v:textbox>
                <w:txbxContent>
                  <w:p w14:paraId="5BC3E991" w14:textId="2EA0496C" w:rsidR="005048C5" w:rsidRPr="00627E03" w:rsidRDefault="005048C5" w:rsidP="00627E03">
                    <w:pPr>
                      <w:spacing w:after="0" w:line="240" w:lineRule="auto"/>
                      <w:rPr>
                        <w:rFonts w:ascii="Gill Sans MT" w:hAnsi="Gill Sans MT"/>
                        <w:sz w:val="40"/>
                      </w:rPr>
                    </w:pPr>
                    <w:r>
                      <w:rPr>
                        <w:rFonts w:ascii="Gill Sans MT" w:hAnsi="Gill Sans MT"/>
                        <w:sz w:val="40"/>
                      </w:rPr>
                      <w:t>Building and c</w:t>
                    </w:r>
                    <w:r w:rsidRPr="00627E03">
                      <w:rPr>
                        <w:rFonts w:ascii="Gill Sans MT" w:hAnsi="Gill Sans MT"/>
                        <w:sz w:val="40"/>
                      </w:rPr>
                      <w:t>onstruction</w:t>
                    </w:r>
                  </w:p>
                </w:txbxContent>
              </v:textbox>
            </v:shape>
          </w:pict>
        </mc:Fallback>
      </mc:AlternateContent>
    </w:r>
    <w:r>
      <w:rPr>
        <w:noProof/>
        <w:lang w:eastAsia="en-AU"/>
      </w:rPr>
      <mc:AlternateContent>
        <mc:Choice Requires="wps">
          <w:drawing>
            <wp:anchor distT="0" distB="0" distL="114300" distR="114300" simplePos="0" relativeHeight="251657219" behindDoc="0" locked="0" layoutInCell="1" allowOverlap="1" wp14:anchorId="7DE27A5A" wp14:editId="727BE1D9">
              <wp:simplePos x="0" y="0"/>
              <wp:positionH relativeFrom="column">
                <wp:posOffset>-452755</wp:posOffset>
              </wp:positionH>
              <wp:positionV relativeFrom="paragraph">
                <wp:posOffset>1566241</wp:posOffset>
              </wp:positionV>
              <wp:extent cx="6654800" cy="294005"/>
              <wp:effectExtent l="0" t="0" r="0" b="0"/>
              <wp:wrapNone/>
              <wp:docPr id="8" name="Rectangle 8"/>
              <wp:cNvGraphicFramePr/>
              <a:graphic xmlns:a="http://schemas.openxmlformats.org/drawingml/2006/main">
                <a:graphicData uri="http://schemas.microsoft.com/office/word/2010/wordprocessingShape">
                  <wps:wsp>
                    <wps:cNvSpPr/>
                    <wps:spPr>
                      <a:xfrm>
                        <a:off x="0" y="0"/>
                        <a:ext cx="6654800" cy="294005"/>
                      </a:xfrm>
                      <a:prstGeom prst="rect">
                        <a:avLst/>
                      </a:prstGeom>
                      <a:gradFill flip="none" rotWithShape="1">
                        <a:gsLst>
                          <a:gs pos="0">
                            <a:schemeClr val="accent2">
                              <a:lumMod val="60000"/>
                              <a:lumOff val="40000"/>
                              <a:tint val="66000"/>
                              <a:satMod val="160000"/>
                            </a:schemeClr>
                          </a:gs>
                          <a:gs pos="50000">
                            <a:schemeClr val="accent2">
                              <a:lumMod val="60000"/>
                              <a:lumOff val="40000"/>
                              <a:tint val="44500"/>
                              <a:satMod val="160000"/>
                            </a:schemeClr>
                          </a:gs>
                          <a:gs pos="100000">
                            <a:schemeClr val="accent2">
                              <a:lumMod val="60000"/>
                              <a:lumOff val="40000"/>
                              <a:tint val="23500"/>
                              <a:satMod val="16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C7A9D0" id="Rectangle 8" o:spid="_x0000_s1026" style="position:absolute;margin-left:-35.65pt;margin-top:123.35pt;width:524pt;height:23.15pt;z-index:2516572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" fillcolor="#d99594 [1941]" stroked="f" strokeweight="2pt">
              <v:fill color2="#d99594 [1941]" rotate="t" angle="90" colors="0 #f2b8b6;.5 #f6d2d1;1 #fae8e8" focus="100%" type="gradient"/>
            </v:rect>
          </w:pict>
        </mc:Fallback>
      </mc:AlternateContent>
    </w:r>
    <w:r>
      <w:rPr>
        <w:noProof/>
        <w:lang w:eastAsia="en-AU"/>
      </w:rPr>
      <w:drawing>
        <wp:anchor distT="0" distB="0" distL="114300" distR="114300" simplePos="0" relativeHeight="251657218" behindDoc="0" locked="0" layoutInCell="1" allowOverlap="1" wp14:anchorId="7FEE6114" wp14:editId="159444F6">
          <wp:simplePos x="0" y="0"/>
          <wp:positionH relativeFrom="column">
            <wp:posOffset>-906145</wp:posOffset>
          </wp:positionH>
          <wp:positionV relativeFrom="paragraph">
            <wp:posOffset>-260654</wp:posOffset>
          </wp:positionV>
          <wp:extent cx="7561691" cy="2520563"/>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691" cy="2520563"/>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B32AB" w14:textId="7750C515" w:rsidR="005048C5" w:rsidRDefault="005048C5" w:rsidP="0058406A">
    <w:pPr>
      <w:pStyle w:val="Header"/>
      <w:ind w:left="-284"/>
    </w:pPr>
    <w:r>
      <w:rPr>
        <w:noProof/>
        <w:lang w:eastAsia="en-AU"/>
      </w:rPr>
      <mc:AlternateContent>
        <mc:Choice Requires="wpg">
          <w:drawing>
            <wp:anchor distT="0" distB="0" distL="114300" distR="114300" simplePos="0" relativeHeight="251654656" behindDoc="0" locked="0" layoutInCell="1" allowOverlap="1" wp14:anchorId="3134A531" wp14:editId="7426400B">
              <wp:simplePos x="0" y="0"/>
              <wp:positionH relativeFrom="column">
                <wp:posOffset>-282769</wp:posOffset>
              </wp:positionH>
              <wp:positionV relativeFrom="paragraph">
                <wp:posOffset>170622</wp:posOffset>
              </wp:positionV>
              <wp:extent cx="6679095" cy="278296"/>
              <wp:effectExtent l="0" t="0" r="7620" b="0"/>
              <wp:wrapNone/>
              <wp:docPr id="14" name="Group 14"/>
              <wp:cNvGraphicFramePr/>
              <a:graphic xmlns:a="http://schemas.openxmlformats.org/drawingml/2006/main">
                <a:graphicData uri="http://schemas.microsoft.com/office/word/2010/wordprocessingGroup">
                  <wpg:wgp>
                    <wpg:cNvGrpSpPr/>
                    <wpg:grpSpPr>
                      <a:xfrm>
                        <a:off x="0" y="0"/>
                        <a:ext cx="6679095" cy="278296"/>
                        <a:chOff x="-7799" y="0"/>
                        <a:chExt cx="6551722" cy="278296"/>
                      </a:xfrm>
                    </wpg:grpSpPr>
                    <wps:wsp>
                      <wps:cNvPr id="12" name="Rectangle 12"/>
                      <wps:cNvSpPr/>
                      <wps:spPr>
                        <a:xfrm>
                          <a:off x="0" y="23854"/>
                          <a:ext cx="6543923" cy="198783"/>
                        </a:xfrm>
                        <a:prstGeom prst="rect">
                          <a:avLst/>
                        </a:prstGeom>
                        <a:gradFill flip="none" rotWithShape="1">
                          <a:gsLst>
                            <a:gs pos="0">
                              <a:schemeClr val="accent2">
                                <a:lumMod val="60000"/>
                                <a:lumOff val="40000"/>
                                <a:tint val="66000"/>
                                <a:satMod val="160000"/>
                              </a:schemeClr>
                            </a:gs>
                            <a:gs pos="50000">
                              <a:schemeClr val="accent2">
                                <a:lumMod val="60000"/>
                                <a:lumOff val="40000"/>
                                <a:tint val="44500"/>
                                <a:satMod val="160000"/>
                              </a:schemeClr>
                            </a:gs>
                            <a:gs pos="100000">
                              <a:schemeClr val="accent2">
                                <a:lumMod val="60000"/>
                                <a:lumOff val="40000"/>
                                <a:tint val="23500"/>
                                <a:satMod val="16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2"/>
                      <wps:cNvSpPr txBox="1">
                        <a:spLocks noChangeArrowheads="1"/>
                      </wps:cNvSpPr>
                      <wps:spPr bwMode="auto">
                        <a:xfrm>
                          <a:off x="-7799" y="0"/>
                          <a:ext cx="2552369" cy="278296"/>
                        </a:xfrm>
                        <a:prstGeom prst="rect">
                          <a:avLst/>
                        </a:prstGeom>
                        <a:noFill/>
                        <a:ln w="9525">
                          <a:noFill/>
                          <a:miter lim="800000"/>
                          <a:headEnd/>
                          <a:tailEnd/>
                        </a:ln>
                      </wps:spPr>
                      <wps:txbx>
                        <w:txbxContent>
                          <w:p w14:paraId="1FFDC8F0" w14:textId="77777777" w:rsidR="005048C5" w:rsidRPr="0058406A" w:rsidRDefault="005048C5" w:rsidP="0058406A">
                            <w:pPr>
                              <w:spacing w:after="0"/>
                              <w:rPr>
                                <w:rFonts w:ascii="Gill Sans MT" w:hAnsi="Gill Sans MT"/>
                                <w:b/>
                              </w:rPr>
                            </w:pPr>
                            <w:r w:rsidRPr="0058406A">
                              <w:rPr>
                                <w:rFonts w:ascii="Gill Sans MT" w:hAnsi="Gill Sans MT"/>
                                <w:b/>
                              </w:rPr>
                              <w:t>Summary of sector</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3134A531" id="Group 14" o:spid="_x0000_s1034" style="position:absolute;left:0;text-align:left;margin-left:-22.25pt;margin-top:13.45pt;width:525.9pt;height:21.9pt;z-index:251654656;mso-width-relative:margin" coordorigin="-77" coordsize="65517,2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">
              <v:rect id="Rectangle 12" o:spid="_x0000_s1035" style="position:absolute;top:238;width:65439;height:1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fh7b8A&#10;AADbAAAADwAAAGRycy9kb3ducmV2LnhtbERPTYvCMBC9C/6HMIKXoqkeRLpGUUHYq67IHsdmbIPN&#10;pDZZbf31ZkHwNo/3OYtVaytxp8Ybxwom4xQEce604ULB8Wc3moPwAVlj5ZgUdORhtez3Fphp9+A9&#10;3Q+hEDGEfYYKyhDqTEqfl2TRj11NHLmLayyGCJtC6gYfMdxWcpqmM2nRcGwosaZtSfn18GcVbM6/&#10;iTWzZPPMb1t7Pu1M0rlOqeGgXX+BCNSGj/jt/tZx/hT+f4kH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N+HtvwAAANsAAAAPAAAAAAAAAAAAAAAAAJgCAABkcnMvZG93bnJl&#10;di54bWxQSwUGAAAAAAQABAD1AAAAhAMAAAAA&#10;" fillcolor="#d99594 [1941]" stroked="f" strokeweight="2pt">
                <v:fill color2="#d99594 [1941]" rotate="t" angle="90" colors="0 #f2b8b6;.5 #f6d2d1;1 #fae8e8" focus="100%" type="gradient"/>
              </v:rect>
              <v:shapetype id="_x0000_t202" coordsize="21600,21600" o:spt="202" path="m,l,21600r21600,l21600,xe">
                <v:stroke joinstyle="miter"/>
                <v:path gradientshapeok="t" o:connecttype="rect"/>
              </v:shapetype>
              <v:shape id="_x0000_s1036" type="#_x0000_t202" style="position:absolute;left:-77;width:25522;height:2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14:paraId="1FFDC8F0" w14:textId="77777777" w:rsidR="005048C5" w:rsidRPr="0058406A" w:rsidRDefault="005048C5" w:rsidP="0058406A">
                      <w:pPr>
                        <w:spacing w:after="0"/>
                        <w:rPr>
                          <w:rFonts w:ascii="Gill Sans MT" w:hAnsi="Gill Sans MT"/>
                          <w:b/>
                        </w:rPr>
                      </w:pPr>
                      <w:r w:rsidRPr="0058406A">
                        <w:rPr>
                          <w:rFonts w:ascii="Gill Sans MT" w:hAnsi="Gill Sans MT"/>
                          <w:b/>
                        </w:rPr>
                        <w:t>Summary of sector</w:t>
                      </w:r>
                    </w:p>
                  </w:txbxContent>
                </v:textbox>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2F658" w14:textId="04D0F4BC" w:rsidR="005048C5" w:rsidRDefault="005048C5" w:rsidP="0058406A">
    <w:pPr>
      <w:pStyle w:val="Header"/>
      <w:ind w:left="-284"/>
    </w:pPr>
    <w:r>
      <w:rPr>
        <w:noProof/>
        <w:lang w:eastAsia="en-AU"/>
      </w:rPr>
      <mc:AlternateContent>
        <mc:Choice Requires="wpg">
          <w:drawing>
            <wp:anchor distT="0" distB="0" distL="114300" distR="114300" simplePos="0" relativeHeight="251660800" behindDoc="0" locked="0" layoutInCell="1" allowOverlap="1" wp14:anchorId="5F497563" wp14:editId="4C41999D">
              <wp:simplePos x="0" y="0"/>
              <wp:positionH relativeFrom="column">
                <wp:posOffset>-274793</wp:posOffset>
              </wp:positionH>
              <wp:positionV relativeFrom="paragraph">
                <wp:posOffset>67945</wp:posOffset>
              </wp:positionV>
              <wp:extent cx="6679095" cy="278296"/>
              <wp:effectExtent l="0" t="0" r="7620" b="0"/>
              <wp:wrapNone/>
              <wp:docPr id="29" name="Group 29"/>
              <wp:cNvGraphicFramePr/>
              <a:graphic xmlns:a="http://schemas.openxmlformats.org/drawingml/2006/main">
                <a:graphicData uri="http://schemas.microsoft.com/office/word/2010/wordprocessingGroup">
                  <wpg:wgp>
                    <wpg:cNvGrpSpPr/>
                    <wpg:grpSpPr>
                      <a:xfrm>
                        <a:off x="0" y="0"/>
                        <a:ext cx="6679095" cy="278296"/>
                        <a:chOff x="-7799" y="0"/>
                        <a:chExt cx="6551722" cy="278296"/>
                      </a:xfrm>
                    </wpg:grpSpPr>
                    <wps:wsp>
                      <wps:cNvPr id="295" name="Rectangle 295"/>
                      <wps:cNvSpPr/>
                      <wps:spPr>
                        <a:xfrm>
                          <a:off x="0" y="23854"/>
                          <a:ext cx="6543923" cy="198783"/>
                        </a:xfrm>
                        <a:prstGeom prst="rect">
                          <a:avLst/>
                        </a:prstGeom>
                        <a:gradFill flip="none" rotWithShape="1">
                          <a:gsLst>
                            <a:gs pos="0">
                              <a:schemeClr val="accent2">
                                <a:lumMod val="60000"/>
                                <a:lumOff val="40000"/>
                                <a:tint val="66000"/>
                                <a:satMod val="160000"/>
                              </a:schemeClr>
                            </a:gs>
                            <a:gs pos="50000">
                              <a:schemeClr val="accent2">
                                <a:lumMod val="60000"/>
                                <a:lumOff val="40000"/>
                                <a:tint val="44500"/>
                                <a:satMod val="160000"/>
                              </a:schemeClr>
                            </a:gs>
                            <a:gs pos="100000">
                              <a:schemeClr val="accent2">
                                <a:lumMod val="60000"/>
                                <a:lumOff val="40000"/>
                                <a:tint val="23500"/>
                                <a:satMod val="16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Text Box 2"/>
                      <wps:cNvSpPr txBox="1">
                        <a:spLocks noChangeArrowheads="1"/>
                      </wps:cNvSpPr>
                      <wps:spPr bwMode="auto">
                        <a:xfrm>
                          <a:off x="-7799" y="0"/>
                          <a:ext cx="2552369" cy="278296"/>
                        </a:xfrm>
                        <a:prstGeom prst="rect">
                          <a:avLst/>
                        </a:prstGeom>
                        <a:noFill/>
                        <a:ln w="9525">
                          <a:noFill/>
                          <a:miter lim="800000"/>
                          <a:headEnd/>
                          <a:tailEnd/>
                        </a:ln>
                      </wps:spPr>
                      <wps:txbx>
                        <w:txbxContent>
                          <w:p w14:paraId="2BAF72B9" w14:textId="3D9BD22C" w:rsidR="005048C5" w:rsidRPr="0058406A" w:rsidRDefault="005048C5" w:rsidP="002922E7">
                            <w:pPr>
                              <w:spacing w:after="0"/>
                              <w:rPr>
                                <w:rFonts w:ascii="Gill Sans MT" w:hAnsi="Gill Sans MT"/>
                                <w:b/>
                              </w:rPr>
                            </w:pPr>
                            <w:r>
                              <w:rPr>
                                <w:rFonts w:ascii="Gill Sans MT" w:hAnsi="Gill Sans MT"/>
                                <w:b/>
                              </w:rPr>
                              <w:t>Constraints and opportunities</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5F497563" id="Group 29" o:spid="_x0000_s1037" style="position:absolute;left:0;text-align:left;margin-left:-21.65pt;margin-top:5.35pt;width:525.9pt;height:21.9pt;z-index:251660800;mso-width-relative:margin" coordorigin="-77" coordsize="65517,2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">
              <v:rect id="Rectangle 295" o:spid="_x0000_s1038" style="position:absolute;top:238;width:65439;height:1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LTasQA&#10;AADcAAAADwAAAGRycy9kb3ducmV2LnhtbESPQWvCQBSE70L/w/KEXoJuFCo1ukoVhF6rpfT4kn0m&#10;i9m3MbvVpL/eFQSPw8x8wyzXna3FhVpvHCuYjFMQxIXThksF34fd6B2ED8gaa8ekoCcP69XLYImZ&#10;dlf+oss+lCJC2GeooAqhyaT0RUUW/dg1xNE7utZiiLItpW7xGuG2ltM0nUmLhuNChQ1tKypO+z+r&#10;YJP/JtbMks1/cd7a/Gdnkt71Sr0Ou48FiEBdeIYf7U+tYDp/g/uZe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i02rEAAAA3AAAAA8AAAAAAAAAAAAAAAAAmAIAAGRycy9k&#10;b3ducmV2LnhtbFBLBQYAAAAABAAEAPUAAACJAwAAAAA=&#10;" fillcolor="#d99594 [1941]" stroked="f" strokeweight="2pt">
                <v:fill color2="#d99594 [1941]" rotate="t" angle="90" colors="0 #f2b8b6;.5 #f6d2d1;1 #fae8e8" focus="100%" type="gradient"/>
              </v:rect>
              <v:shapetype id="_x0000_t202" coordsize="21600,21600" o:spt="202" path="m,l,21600r21600,l21600,xe">
                <v:stroke joinstyle="miter"/>
                <v:path gradientshapeok="t" o:connecttype="rect"/>
              </v:shapetype>
              <v:shape id="_x0000_s1039" type="#_x0000_t202" style="position:absolute;left:-77;width:25522;height:2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rW9MQA&#10;AADcAAAADwAAAGRycy9kb3ducmV2LnhtbESPQWvCQBSE70L/w/IKveluxYYa3QSxCD1VjG3B2yP7&#10;TEKzb0N2a9J/3xUEj8PMfMOs89G24kK9bxxreJ4pEMSlMw1XGj6Pu+krCB+QDbaOScMfecizh8ka&#10;U+MGPtClCJWIEPYpaqhD6FIpfVmTRT9zHXH0zq63GKLsK2l6HCLctnKuVCItNhwXauxoW1P5U/xa&#10;DV8f59P3Qu2rN/vSDW5Uku1Sav30OG5WIAKN4R6+td+Nhvkyge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1vTEAAAA3AAAAA8AAAAAAAAAAAAAAAAAmAIAAGRycy9k&#10;b3ducmV2LnhtbFBLBQYAAAAABAAEAPUAAACJAwAAAAA=&#10;" filled="f" stroked="f">
                <v:textbox>
                  <w:txbxContent>
                    <w:p w14:paraId="2BAF72B9" w14:textId="3D9BD22C" w:rsidR="005048C5" w:rsidRPr="0058406A" w:rsidRDefault="005048C5" w:rsidP="002922E7">
                      <w:pPr>
                        <w:spacing w:after="0"/>
                        <w:rPr>
                          <w:rFonts w:ascii="Gill Sans MT" w:hAnsi="Gill Sans MT"/>
                          <w:b/>
                        </w:rPr>
                      </w:pPr>
                      <w:r>
                        <w:rPr>
                          <w:rFonts w:ascii="Gill Sans MT" w:hAnsi="Gill Sans MT"/>
                          <w:b/>
                        </w:rPr>
                        <w:t>Constraints and opportunities</w:t>
                      </w:r>
                    </w:p>
                  </w:txbxContent>
                </v:textbox>
              </v:shap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86144" w14:textId="77777777" w:rsidR="005048C5" w:rsidRDefault="005048C5" w:rsidP="0058406A">
    <w:pPr>
      <w:pStyle w:val="Header"/>
      <w:ind w:left="-28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83DD6"/>
    <w:multiLevelType w:val="hybridMultilevel"/>
    <w:tmpl w:val="29C83E9A"/>
    <w:lvl w:ilvl="0" w:tplc="28AA723E">
      <w:start w:val="1"/>
      <w:numFmt w:val="bullet"/>
      <w:pStyle w:val="Sectorbodydotpoints"/>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
    <w:nsid w:val="200473F5"/>
    <w:multiLevelType w:val="hybridMultilevel"/>
    <w:tmpl w:val="8BAA9FF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7E3"/>
    <w:rsid w:val="00015F31"/>
    <w:rsid w:val="00022BAC"/>
    <w:rsid w:val="000561CB"/>
    <w:rsid w:val="000B667B"/>
    <w:rsid w:val="000D6F14"/>
    <w:rsid w:val="000E29BB"/>
    <w:rsid w:val="000E4476"/>
    <w:rsid w:val="00127D71"/>
    <w:rsid w:val="00154D95"/>
    <w:rsid w:val="00182FE0"/>
    <w:rsid w:val="001D2311"/>
    <w:rsid w:val="001F7241"/>
    <w:rsid w:val="0020010C"/>
    <w:rsid w:val="00206B20"/>
    <w:rsid w:val="002922E7"/>
    <w:rsid w:val="002B4D00"/>
    <w:rsid w:val="002E3B35"/>
    <w:rsid w:val="002E62A7"/>
    <w:rsid w:val="00362F77"/>
    <w:rsid w:val="00372CEC"/>
    <w:rsid w:val="003901F5"/>
    <w:rsid w:val="003E3BF6"/>
    <w:rsid w:val="003F0C1F"/>
    <w:rsid w:val="00413BC7"/>
    <w:rsid w:val="00415049"/>
    <w:rsid w:val="0044157D"/>
    <w:rsid w:val="004D653D"/>
    <w:rsid w:val="005048C5"/>
    <w:rsid w:val="00547345"/>
    <w:rsid w:val="00565B5D"/>
    <w:rsid w:val="00580221"/>
    <w:rsid w:val="0058406A"/>
    <w:rsid w:val="005F37A6"/>
    <w:rsid w:val="006060D2"/>
    <w:rsid w:val="00615DF8"/>
    <w:rsid w:val="00622C4A"/>
    <w:rsid w:val="00625EB3"/>
    <w:rsid w:val="00627E03"/>
    <w:rsid w:val="006333B6"/>
    <w:rsid w:val="0069028A"/>
    <w:rsid w:val="00693BA8"/>
    <w:rsid w:val="006B54D2"/>
    <w:rsid w:val="006D1540"/>
    <w:rsid w:val="006D5DFD"/>
    <w:rsid w:val="006E6AB0"/>
    <w:rsid w:val="007305B1"/>
    <w:rsid w:val="00767B51"/>
    <w:rsid w:val="00790878"/>
    <w:rsid w:val="007D7A77"/>
    <w:rsid w:val="007E29B2"/>
    <w:rsid w:val="00831F4A"/>
    <w:rsid w:val="00875825"/>
    <w:rsid w:val="008A23C5"/>
    <w:rsid w:val="008E4FEE"/>
    <w:rsid w:val="00901679"/>
    <w:rsid w:val="00930072"/>
    <w:rsid w:val="009E3D48"/>
    <w:rsid w:val="009F6BFB"/>
    <w:rsid w:val="00A45147"/>
    <w:rsid w:val="00A642C5"/>
    <w:rsid w:val="00AC080D"/>
    <w:rsid w:val="00B06A9B"/>
    <w:rsid w:val="00B249BA"/>
    <w:rsid w:val="00B304E6"/>
    <w:rsid w:val="00B73092"/>
    <w:rsid w:val="00BC3CE1"/>
    <w:rsid w:val="00C0471B"/>
    <w:rsid w:val="00C167E3"/>
    <w:rsid w:val="00C437E1"/>
    <w:rsid w:val="00C43CE5"/>
    <w:rsid w:val="00CB5A10"/>
    <w:rsid w:val="00CF506C"/>
    <w:rsid w:val="00D009BC"/>
    <w:rsid w:val="00D06286"/>
    <w:rsid w:val="00D074C8"/>
    <w:rsid w:val="00D25512"/>
    <w:rsid w:val="00D60D44"/>
    <w:rsid w:val="00E55BAF"/>
    <w:rsid w:val="00E57611"/>
    <w:rsid w:val="00E742F3"/>
    <w:rsid w:val="00E813F4"/>
    <w:rsid w:val="00EF6B02"/>
    <w:rsid w:val="00F1120B"/>
    <w:rsid w:val="00F11907"/>
    <w:rsid w:val="00F5151C"/>
    <w:rsid w:val="00F82484"/>
    <w:rsid w:val="00FB09A4"/>
    <w:rsid w:val="00FC083E"/>
    <w:rsid w:val="00FD21DE"/>
    <w:rsid w:val="00FD67E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8A180C3"/>
  <w15:docId w15:val="{29326ADB-508C-48AF-B10A-FC1D4576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0D44"/>
    <w:pPr>
      <w:ind w:left="-284"/>
      <w:outlineLvl w:val="0"/>
    </w:pPr>
    <w:rPr>
      <w:rFonts w:ascii="Gill Sans MT" w:hAnsi="Gill Sans MT"/>
      <w:sz w:val="40"/>
      <w:szCs w:val="40"/>
    </w:rPr>
  </w:style>
  <w:style w:type="paragraph" w:styleId="Heading2">
    <w:name w:val="heading 2"/>
    <w:basedOn w:val="Sectorbody"/>
    <w:next w:val="Normal"/>
    <w:link w:val="Heading2Char"/>
    <w:uiPriority w:val="9"/>
    <w:unhideWhenUsed/>
    <w:qFormat/>
    <w:rsid w:val="00D60D44"/>
    <w:pPr>
      <w:spacing w:before="0" w:after="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7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7E3"/>
  </w:style>
  <w:style w:type="paragraph" w:styleId="Footer">
    <w:name w:val="footer"/>
    <w:basedOn w:val="Normal"/>
    <w:link w:val="FooterChar"/>
    <w:uiPriority w:val="99"/>
    <w:unhideWhenUsed/>
    <w:rsid w:val="00C167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7E3"/>
  </w:style>
  <w:style w:type="paragraph" w:customStyle="1" w:styleId="Sectorbody">
    <w:name w:val="Sector body"/>
    <w:basedOn w:val="Normal"/>
    <w:link w:val="SectorbodyChar"/>
    <w:qFormat/>
    <w:rsid w:val="00C167E3"/>
    <w:pPr>
      <w:spacing w:before="240" w:after="280"/>
      <w:ind w:left="-284"/>
    </w:pPr>
    <w:rPr>
      <w:rFonts w:ascii="Gill Sans MT" w:hAnsi="Gill Sans MT"/>
    </w:rPr>
  </w:style>
  <w:style w:type="character" w:styleId="Hyperlink">
    <w:name w:val="Hyperlink"/>
    <w:basedOn w:val="DefaultParagraphFont"/>
    <w:uiPriority w:val="99"/>
    <w:unhideWhenUsed/>
    <w:rsid w:val="00C167E3"/>
    <w:rPr>
      <w:color w:val="0000FF" w:themeColor="hyperlink"/>
      <w:u w:val="single"/>
    </w:rPr>
  </w:style>
  <w:style w:type="character" w:customStyle="1" w:styleId="SectorbodyChar">
    <w:name w:val="Sector body Char"/>
    <w:basedOn w:val="DefaultParagraphFont"/>
    <w:link w:val="Sectorbody"/>
    <w:rsid w:val="00C167E3"/>
    <w:rPr>
      <w:rFonts w:ascii="Gill Sans MT" w:hAnsi="Gill Sans MT"/>
    </w:rPr>
  </w:style>
  <w:style w:type="character" w:customStyle="1" w:styleId="Heading1Char">
    <w:name w:val="Heading 1 Char"/>
    <w:basedOn w:val="DefaultParagraphFont"/>
    <w:link w:val="Heading1"/>
    <w:uiPriority w:val="9"/>
    <w:rsid w:val="00D60D44"/>
    <w:rPr>
      <w:rFonts w:ascii="Gill Sans MT" w:hAnsi="Gill Sans MT"/>
      <w:sz w:val="40"/>
      <w:szCs w:val="40"/>
    </w:rPr>
  </w:style>
  <w:style w:type="character" w:customStyle="1" w:styleId="Heading2Char">
    <w:name w:val="Heading 2 Char"/>
    <w:basedOn w:val="DefaultParagraphFont"/>
    <w:link w:val="Heading2"/>
    <w:uiPriority w:val="9"/>
    <w:rsid w:val="00D60D44"/>
    <w:rPr>
      <w:rFonts w:ascii="Gill Sans MT" w:hAnsi="Gill Sans MT"/>
      <w:b/>
    </w:rPr>
  </w:style>
  <w:style w:type="paragraph" w:customStyle="1" w:styleId="Sectorbodystats">
    <w:name w:val="Sector body stats"/>
    <w:basedOn w:val="Sectorbody"/>
    <w:link w:val="SectorbodystatsChar"/>
    <w:qFormat/>
    <w:rsid w:val="00D60D44"/>
    <w:pPr>
      <w:spacing w:before="0" w:after="0"/>
    </w:pPr>
  </w:style>
  <w:style w:type="paragraph" w:customStyle="1" w:styleId="Sectorbodydotpoints">
    <w:name w:val="Sector body dot points"/>
    <w:basedOn w:val="Sectorbodystats"/>
    <w:link w:val="SectorbodydotpointsChar"/>
    <w:qFormat/>
    <w:rsid w:val="00CB5A10"/>
    <w:pPr>
      <w:numPr>
        <w:numId w:val="1"/>
      </w:numPr>
      <w:spacing w:after="120"/>
    </w:pPr>
  </w:style>
  <w:style w:type="character" w:customStyle="1" w:styleId="SectorbodystatsChar">
    <w:name w:val="Sector body stats Char"/>
    <w:basedOn w:val="SectorbodyChar"/>
    <w:link w:val="Sectorbodystats"/>
    <w:rsid w:val="00D60D44"/>
    <w:rPr>
      <w:rFonts w:ascii="Gill Sans MT" w:hAnsi="Gill Sans MT"/>
    </w:rPr>
  </w:style>
  <w:style w:type="paragraph" w:styleId="BalloonText">
    <w:name w:val="Balloon Text"/>
    <w:basedOn w:val="Normal"/>
    <w:link w:val="BalloonTextChar"/>
    <w:uiPriority w:val="99"/>
    <w:semiHidden/>
    <w:unhideWhenUsed/>
    <w:rsid w:val="00627E03"/>
    <w:pPr>
      <w:spacing w:after="0" w:line="240" w:lineRule="auto"/>
    </w:pPr>
    <w:rPr>
      <w:rFonts w:ascii="Tahoma" w:hAnsi="Tahoma" w:cs="Tahoma"/>
      <w:sz w:val="16"/>
      <w:szCs w:val="16"/>
    </w:rPr>
  </w:style>
  <w:style w:type="character" w:customStyle="1" w:styleId="SectorbodydotpointsChar">
    <w:name w:val="Sector body dot points Char"/>
    <w:basedOn w:val="SectorbodystatsChar"/>
    <w:link w:val="Sectorbodydotpoints"/>
    <w:rsid w:val="00CB5A10"/>
    <w:rPr>
      <w:rFonts w:ascii="Gill Sans MT" w:hAnsi="Gill Sans MT"/>
    </w:rPr>
  </w:style>
  <w:style w:type="character" w:customStyle="1" w:styleId="BalloonTextChar">
    <w:name w:val="Balloon Text Char"/>
    <w:basedOn w:val="DefaultParagraphFont"/>
    <w:link w:val="BalloonText"/>
    <w:uiPriority w:val="99"/>
    <w:semiHidden/>
    <w:rsid w:val="00627E03"/>
    <w:rPr>
      <w:rFonts w:ascii="Tahoma" w:hAnsi="Tahoma" w:cs="Tahoma"/>
      <w:sz w:val="16"/>
      <w:szCs w:val="16"/>
    </w:rPr>
  </w:style>
  <w:style w:type="table" w:styleId="TableGrid">
    <w:name w:val="Table Grid"/>
    <w:basedOn w:val="TableNormal"/>
    <w:uiPriority w:val="59"/>
    <w:rsid w:val="009F6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22E7"/>
    <w:pPr>
      <w:ind w:left="720"/>
      <w:contextualSpacing/>
    </w:pPr>
  </w:style>
  <w:style w:type="character" w:styleId="CommentReference">
    <w:name w:val="annotation reference"/>
    <w:basedOn w:val="DefaultParagraphFont"/>
    <w:uiPriority w:val="99"/>
    <w:semiHidden/>
    <w:unhideWhenUsed/>
    <w:rsid w:val="007D7A77"/>
    <w:rPr>
      <w:sz w:val="16"/>
      <w:szCs w:val="16"/>
    </w:rPr>
  </w:style>
  <w:style w:type="paragraph" w:styleId="CommentText">
    <w:name w:val="annotation text"/>
    <w:basedOn w:val="Normal"/>
    <w:link w:val="CommentTextChar"/>
    <w:uiPriority w:val="99"/>
    <w:semiHidden/>
    <w:unhideWhenUsed/>
    <w:rsid w:val="007D7A77"/>
    <w:pPr>
      <w:spacing w:line="240" w:lineRule="auto"/>
    </w:pPr>
    <w:rPr>
      <w:sz w:val="20"/>
      <w:szCs w:val="20"/>
    </w:rPr>
  </w:style>
  <w:style w:type="character" w:customStyle="1" w:styleId="CommentTextChar">
    <w:name w:val="Comment Text Char"/>
    <w:basedOn w:val="DefaultParagraphFont"/>
    <w:link w:val="CommentText"/>
    <w:uiPriority w:val="99"/>
    <w:semiHidden/>
    <w:rsid w:val="007D7A77"/>
    <w:rPr>
      <w:sz w:val="20"/>
      <w:szCs w:val="20"/>
    </w:rPr>
  </w:style>
  <w:style w:type="paragraph" w:styleId="CommentSubject">
    <w:name w:val="annotation subject"/>
    <w:basedOn w:val="CommentText"/>
    <w:next w:val="CommentText"/>
    <w:link w:val="CommentSubjectChar"/>
    <w:uiPriority w:val="99"/>
    <w:semiHidden/>
    <w:unhideWhenUsed/>
    <w:rsid w:val="007D7A77"/>
    <w:rPr>
      <w:b/>
      <w:bCs/>
    </w:rPr>
  </w:style>
  <w:style w:type="character" w:customStyle="1" w:styleId="CommentSubjectChar">
    <w:name w:val="Comment Subject Char"/>
    <w:basedOn w:val="CommentTextChar"/>
    <w:link w:val="CommentSubject"/>
    <w:uiPriority w:val="99"/>
    <w:semiHidden/>
    <w:rsid w:val="007D7A77"/>
    <w:rPr>
      <w:b/>
      <w:bCs/>
      <w:sz w:val="20"/>
      <w:szCs w:val="20"/>
    </w:rPr>
  </w:style>
  <w:style w:type="paragraph" w:styleId="FootnoteText">
    <w:name w:val="footnote text"/>
    <w:basedOn w:val="Normal"/>
    <w:link w:val="FootnoteTextChar"/>
    <w:uiPriority w:val="99"/>
    <w:semiHidden/>
    <w:unhideWhenUsed/>
    <w:rsid w:val="005802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0221"/>
    <w:rPr>
      <w:sz w:val="20"/>
      <w:szCs w:val="20"/>
    </w:rPr>
  </w:style>
  <w:style w:type="character" w:styleId="FootnoteReference">
    <w:name w:val="footnote reference"/>
    <w:basedOn w:val="DefaultParagraphFont"/>
    <w:uiPriority w:val="99"/>
    <w:semiHidden/>
    <w:unhideWhenUsed/>
    <w:rsid w:val="005802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688556">
      <w:bodyDiv w:val="1"/>
      <w:marLeft w:val="0"/>
      <w:marRight w:val="0"/>
      <w:marTop w:val="0"/>
      <w:marBottom w:val="0"/>
      <w:divBdr>
        <w:top w:val="none" w:sz="0" w:space="0" w:color="auto"/>
        <w:left w:val="none" w:sz="0" w:space="0" w:color="auto"/>
        <w:bottom w:val="none" w:sz="0" w:space="0" w:color="auto"/>
        <w:right w:val="none" w:sz="0" w:space="0" w:color="auto"/>
      </w:divBdr>
    </w:div>
    <w:div w:id="50235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http://eddie/agency/stratpolrsrch/econresearchimpact/EDP%20Implementation/Key%20Project%20Documents/Project%20Plan%20EDP%20Implementation%202013-14%20-%202017-18/Sector%20Summaries%20Data%20v2_9%20Dec%202013%20Rods%20not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eddie/agency/stratpolrsrch/econresearchimpact/EDP%20Implementation/Key%20Project%20Documents/Project%20Plan%20EDP%20Implementation%202013-14%20-%202017-18/Sector%20Summaries%20Data%20v2_9%20Dec%202013%20Rods%20not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AU"/>
              <a:t>Building and construction</a:t>
            </a:r>
          </a:p>
        </c:rich>
      </c:tx>
      <c:layout/>
      <c:overlay val="0"/>
    </c:title>
    <c:autoTitleDeleted val="0"/>
    <c:plotArea>
      <c:layout/>
      <c:barChart>
        <c:barDir val="col"/>
        <c:grouping val="clustered"/>
        <c:varyColors val="0"/>
        <c:ser>
          <c:idx val="0"/>
          <c:order val="0"/>
          <c:tx>
            <c:strRef>
              <c:f>'Building and Construction'!$B$2</c:f>
              <c:strCache>
                <c:ptCount val="1"/>
                <c:pt idx="0">
                  <c:v>Building and Construction</c:v>
                </c:pt>
              </c:strCache>
            </c:strRef>
          </c:tx>
          <c:invertIfNegative val="0"/>
          <c:cat>
            <c:strRef>
              <c:f>'Building and Construction'!$B$6:$B$7</c:f>
              <c:strCache>
                <c:ptCount val="2"/>
                <c:pt idx="0">
                  <c:v>Industry Value Add</c:v>
                </c:pt>
                <c:pt idx="1">
                  <c:v>Employment</c:v>
                </c:pt>
              </c:strCache>
            </c:strRef>
          </c:cat>
          <c:val>
            <c:numRef>
              <c:f>'Building and Construction'!$G$6:$G$7</c:f>
              <c:numCache>
                <c:formatCode>0.0%</c:formatCode>
                <c:ptCount val="2"/>
                <c:pt idx="0">
                  <c:v>6.2993427851031278E-2</c:v>
                </c:pt>
                <c:pt idx="1">
                  <c:v>7.6313289119778402E-2</c:v>
                </c:pt>
              </c:numCache>
            </c:numRef>
          </c:val>
        </c:ser>
        <c:dLbls>
          <c:showLegendKey val="0"/>
          <c:showVal val="0"/>
          <c:showCatName val="0"/>
          <c:showSerName val="0"/>
          <c:showPercent val="0"/>
          <c:showBubbleSize val="0"/>
        </c:dLbls>
        <c:gapWidth val="150"/>
        <c:axId val="195273480"/>
        <c:axId val="196038232"/>
      </c:barChart>
      <c:catAx>
        <c:axId val="195273480"/>
        <c:scaling>
          <c:orientation val="minMax"/>
        </c:scaling>
        <c:delete val="0"/>
        <c:axPos val="b"/>
        <c:numFmt formatCode="General" sourceLinked="0"/>
        <c:majorTickMark val="out"/>
        <c:minorTickMark val="none"/>
        <c:tickLblPos val="nextTo"/>
        <c:crossAx val="196038232"/>
        <c:crosses val="autoZero"/>
        <c:auto val="1"/>
        <c:lblAlgn val="ctr"/>
        <c:lblOffset val="100"/>
        <c:noMultiLvlLbl val="0"/>
      </c:catAx>
      <c:valAx>
        <c:axId val="196038232"/>
        <c:scaling>
          <c:orientation val="minMax"/>
        </c:scaling>
        <c:delete val="0"/>
        <c:axPos val="l"/>
        <c:majorGridlines/>
        <c:title>
          <c:tx>
            <c:rich>
              <a:bodyPr rot="-5400000" vert="horz"/>
              <a:lstStyle/>
              <a:p>
                <a:pPr>
                  <a:defRPr/>
                </a:pPr>
                <a:r>
                  <a:rPr lang="en-AU"/>
                  <a:t>Percentage of Tasmanian total</a:t>
                </a:r>
              </a:p>
            </c:rich>
          </c:tx>
          <c:layout>
            <c:manualLayout>
              <c:xMode val="edge"/>
              <c:yMode val="edge"/>
              <c:x val="1.9444444444444445E-2"/>
              <c:y val="0.17742308253135136"/>
            </c:manualLayout>
          </c:layout>
          <c:overlay val="0"/>
        </c:title>
        <c:numFmt formatCode="0.0%" sourceLinked="1"/>
        <c:majorTickMark val="out"/>
        <c:minorTickMark val="none"/>
        <c:tickLblPos val="nextTo"/>
        <c:crossAx val="195273480"/>
        <c:crosses val="autoZero"/>
        <c:crossBetween val="between"/>
      </c:valAx>
    </c:plotArea>
    <c:plotVisOnly val="1"/>
    <c:dispBlanksAs val="gap"/>
    <c:showDLblsOverMax val="0"/>
  </c:chart>
  <c:spPr>
    <a:ln>
      <a:noFill/>
    </a:ln>
  </c:spPr>
  <c:txPr>
    <a:bodyPr/>
    <a:lstStyle/>
    <a:p>
      <a:pPr>
        <a:defRPr>
          <a:latin typeface="Gill Sans MT"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729404077654851E-2"/>
          <c:y val="0.17572898736495146"/>
          <c:w val="0.62772052227648756"/>
          <c:h val="0.69195238967222117"/>
        </c:manualLayout>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'Building and Construction'!$B$48:$B$50</c:f>
              <c:strCache>
                <c:ptCount val="3"/>
                <c:pt idx="0">
                  <c:v>North West</c:v>
                </c:pt>
                <c:pt idx="1">
                  <c:v>North</c:v>
                </c:pt>
                <c:pt idx="2">
                  <c:v>South</c:v>
                </c:pt>
              </c:strCache>
            </c:strRef>
          </c:cat>
          <c:val>
            <c:numRef>
              <c:f>'Building and Construction'!$D$48:$D$50</c:f>
              <c:numCache>
                <c:formatCode>0%</c:formatCode>
                <c:ptCount val="3"/>
                <c:pt idx="0">
                  <c:v>0.2207126377851833</c:v>
                </c:pt>
                <c:pt idx="1">
                  <c:v>0.25976245407160559</c:v>
                </c:pt>
                <c:pt idx="2">
                  <c:v>0.51952490814321117</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9571426919652668"/>
          <c:y val="0.24286250282683336"/>
          <c:w val="0.23967486443049243"/>
          <c:h val="0.59148679944418714"/>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C55CF95164C3409500FCE3A0182A46" ma:contentTypeVersion="0" ma:contentTypeDescription="Create a new document." ma:contentTypeScope="" ma:versionID="b2cf4e97016ff48f5274f448cd441c84">
  <xsd:schema xmlns:xsd="http://www.w3.org/2001/XMLSchema" xmlns:xs="http://www.w3.org/2001/XMLSchema" xmlns:p="http://schemas.microsoft.com/office/2006/metadata/properties" targetNamespace="http://schemas.microsoft.com/office/2006/metadata/properties" ma:root="true" ma:fieldsID="84d24c2467e79a5b957f305a830827c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55C90-6504-4B5B-9E05-A12FB526ACB8}">
  <ds:schemaRefs>
    <ds:schemaRef ds:uri="http://schemas.microsoft.com/sharepoint/v3/contenttype/forms"/>
  </ds:schemaRefs>
</ds:datastoreItem>
</file>

<file path=customXml/itemProps2.xml><?xml version="1.0" encoding="utf-8"?>
<ds:datastoreItem xmlns:ds="http://schemas.openxmlformats.org/officeDocument/2006/customXml" ds:itemID="{6CAB9368-E1E1-4F01-A357-9A8419276E40}">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DA599042-C494-42B6-B132-272BFFC49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4CFB373-19F3-4B4C-B288-13336EF37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Dept of Economic Development, Tourism &amp; the Arts</Company>
  <LinksUpToDate>false</LinksUpToDate>
  <CharactersWithSpaces>11014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Thomas</dc:creator>
  <cp:lastModifiedBy>Fox, Samantha</cp:lastModifiedBy>
  <cp:revision>16</cp:revision>
  <cp:lastPrinted>2014-07-01T02:35:00Z</cp:lastPrinted>
  <dcterms:created xsi:type="dcterms:W3CDTF">2014-06-24T04:32:00Z</dcterms:created>
  <dcterms:modified xsi:type="dcterms:W3CDTF">2014-07-01T04:41:00Z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0x010100A8C55CF95164C3409500FCE3A0182A46</vt:lpwstr>
  </property>
</Properties>
</file>