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B3E36" w14:textId="77777777" w:rsidR="00CE57DC" w:rsidRPr="00295B9E" w:rsidRDefault="00CE57DC" w:rsidP="00A436BC">
      <w:pPr>
        <w:pStyle w:val="Sectorbody"/>
        <w:spacing w:after="240"/>
        <w:ind w:left="-709" w:right="119"/>
      </w:pPr>
      <w:r w:rsidRPr="00295B9E">
        <w:rPr>
          <w:rFonts w:cs="GillSans Light"/>
          <w:color w:val="000000"/>
        </w:rPr>
        <w:t xml:space="preserve">The trade and investment sectors contained in the </w:t>
      </w:r>
      <w:r w:rsidR="00E8025B">
        <w:rPr>
          <w:rFonts w:cs="GillSans Light"/>
          <w:color w:val="000000"/>
        </w:rPr>
        <w:t>sector summary series</w:t>
      </w:r>
      <w:r w:rsidRPr="00295B9E">
        <w:rPr>
          <w:rFonts w:cs="GillSans Light"/>
          <w:color w:val="000000"/>
        </w:rPr>
        <w:t xml:space="preserve"> have been compiled from Australian and New Zealand Standard Industry Classification (ANZSIC) classes using a value chain approach. This means that industry classes from ANZSIC have been grouped together to provide estimates of the size of the </w:t>
      </w:r>
      <w:r w:rsidR="00E8025B">
        <w:rPr>
          <w:rFonts w:cs="GillSans Light"/>
          <w:color w:val="000000"/>
        </w:rPr>
        <w:t>particular</w:t>
      </w:r>
      <w:r w:rsidR="00E8025B" w:rsidRPr="00295B9E">
        <w:rPr>
          <w:rFonts w:cs="GillSans Light"/>
          <w:color w:val="000000"/>
        </w:rPr>
        <w:t xml:space="preserve"> </w:t>
      </w:r>
      <w:r w:rsidRPr="00295B9E">
        <w:rPr>
          <w:rFonts w:cs="GillSans Light"/>
          <w:color w:val="000000"/>
        </w:rPr>
        <w:t>trade and investment sectors</w:t>
      </w:r>
      <w:r>
        <w:t xml:space="preserve">. </w:t>
      </w:r>
    </w:p>
    <w:p w14:paraId="5B7E440E" w14:textId="77777777" w:rsidR="00D60D44" w:rsidRDefault="00D60D44" w:rsidP="00A436BC">
      <w:pPr>
        <w:pStyle w:val="Sectorbody"/>
        <w:spacing w:after="240"/>
        <w:ind w:left="-709" w:right="119"/>
      </w:pPr>
      <w:r w:rsidRPr="00D60D44">
        <w:rPr>
          <w:b/>
        </w:rPr>
        <w:t>Coverage:</w:t>
      </w:r>
      <w:r w:rsidRPr="00D60D44">
        <w:t xml:space="preserve"> </w:t>
      </w:r>
      <w:r w:rsidR="002E64FE" w:rsidRPr="002F12E0">
        <w:t xml:space="preserve">includes all forestry and logging operations, together with log sawmilling, </w:t>
      </w:r>
      <w:r w:rsidR="00722A14">
        <w:t>veneer production</w:t>
      </w:r>
      <w:r w:rsidR="002E64FE" w:rsidRPr="002F12E0">
        <w:t>, chipping, re-sawing and dressing, other wood product manufacturing, and pulp, paper and converted paper product manufacturing</w:t>
      </w:r>
      <w:r w:rsidRPr="00D60D44">
        <w:t>.</w:t>
      </w:r>
    </w:p>
    <w:tbl>
      <w:tblPr>
        <w:tblW w:w="10348" w:type="dxa"/>
        <w:tblInd w:w="-601" w:type="dxa"/>
        <w:tblLayout w:type="fixed"/>
        <w:tblLook w:val="04A0" w:firstRow="1" w:lastRow="0" w:firstColumn="1" w:lastColumn="0" w:noHBand="0" w:noVBand="1"/>
      </w:tblPr>
      <w:tblGrid>
        <w:gridCol w:w="2977"/>
        <w:gridCol w:w="284"/>
        <w:gridCol w:w="3544"/>
        <w:gridCol w:w="284"/>
        <w:gridCol w:w="3259"/>
      </w:tblGrid>
      <w:tr w:rsidR="00E32DB2" w:rsidRPr="00C34B37" w14:paraId="12C2C93D" w14:textId="77777777" w:rsidTr="00E32DB2">
        <w:tc>
          <w:tcPr>
            <w:tcW w:w="6805" w:type="dxa"/>
            <w:gridSpan w:val="3"/>
            <w:shd w:val="clear" w:color="auto" w:fill="A6A6A6" w:themeFill="background1" w:themeFillShade="A6"/>
          </w:tcPr>
          <w:p w14:paraId="1605ADE5" w14:textId="77777777" w:rsidR="00E32DB2" w:rsidRPr="00C34B37" w:rsidRDefault="00E32DB2" w:rsidP="00681900">
            <w:pPr>
              <w:spacing w:after="0" w:line="240" w:lineRule="auto"/>
              <w:rPr>
                <w:rFonts w:ascii="Gill Sans MT" w:hAnsi="Gill Sans MT"/>
                <w:b/>
              </w:rPr>
            </w:pPr>
            <w:r w:rsidRPr="00C34B37">
              <w:rPr>
                <w:rFonts w:ascii="Gill Sans MT" w:hAnsi="Gill Sans MT"/>
                <w:b/>
              </w:rPr>
              <w:t>Key indicators</w:t>
            </w:r>
          </w:p>
        </w:tc>
        <w:tc>
          <w:tcPr>
            <w:tcW w:w="284" w:type="dxa"/>
            <w:shd w:val="clear" w:color="auto" w:fill="FFFFFF"/>
          </w:tcPr>
          <w:p w14:paraId="72ECF7BD" w14:textId="77777777" w:rsidR="00E32DB2" w:rsidRPr="00C34B37" w:rsidRDefault="00E32DB2" w:rsidP="00681900">
            <w:pPr>
              <w:spacing w:after="0" w:line="240" w:lineRule="auto"/>
              <w:rPr>
                <w:rFonts w:ascii="Gill Sans MT" w:hAnsi="Gill Sans MT"/>
                <w:b/>
              </w:rPr>
            </w:pPr>
          </w:p>
        </w:tc>
        <w:tc>
          <w:tcPr>
            <w:tcW w:w="3259" w:type="dxa"/>
            <w:shd w:val="clear" w:color="auto" w:fill="A6A6A6" w:themeFill="background1" w:themeFillShade="A6"/>
          </w:tcPr>
          <w:p w14:paraId="07E90DCB" w14:textId="77777777" w:rsidR="00E32DB2" w:rsidRPr="00C34B37" w:rsidRDefault="00C735D0" w:rsidP="00681900">
            <w:pPr>
              <w:spacing w:after="0" w:line="240" w:lineRule="auto"/>
              <w:rPr>
                <w:rFonts w:ascii="Gill Sans MT" w:hAnsi="Gill Sans MT"/>
                <w:b/>
              </w:rPr>
            </w:pPr>
            <w:r>
              <w:rPr>
                <w:rFonts w:ascii="Gill Sans MT" w:hAnsi="Gill Sans MT"/>
                <w:b/>
              </w:rPr>
              <w:t>Regional e</w:t>
            </w:r>
            <w:r w:rsidR="00E32DB2" w:rsidRPr="00C34B37">
              <w:rPr>
                <w:rFonts w:ascii="Gill Sans MT" w:hAnsi="Gill Sans MT"/>
                <w:b/>
              </w:rPr>
              <w:t>mployment</w:t>
            </w:r>
          </w:p>
        </w:tc>
      </w:tr>
      <w:tr w:rsidR="00E32DB2" w:rsidRPr="00C34B37" w14:paraId="3261B87D" w14:textId="77777777" w:rsidTr="00E32DB2">
        <w:trPr>
          <w:trHeight w:val="3155"/>
        </w:trPr>
        <w:tc>
          <w:tcPr>
            <w:tcW w:w="6805" w:type="dxa"/>
            <w:gridSpan w:val="3"/>
          </w:tcPr>
          <w:p w14:paraId="55AEEE3E" w14:textId="77777777" w:rsidR="00E32DB2" w:rsidRPr="00C34B37" w:rsidRDefault="00E32DB2" w:rsidP="00681900">
            <w:pPr>
              <w:spacing w:after="0" w:line="240" w:lineRule="auto"/>
              <w:rPr>
                <w:rFonts w:ascii="Gill Sans MT" w:hAnsi="Gill Sans MT"/>
              </w:rPr>
            </w:pPr>
            <w:r>
              <w:rPr>
                <w:noProof/>
                <w:lang w:eastAsia="en-AU"/>
              </w:rPr>
              <w:drawing>
                <wp:inline distT="0" distB="0" distL="0" distR="0" wp14:anchorId="2FC3A1EF" wp14:editId="7F28215E">
                  <wp:extent cx="4338084" cy="2456121"/>
                  <wp:effectExtent l="0" t="0" r="5715"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84" w:type="dxa"/>
            <w:shd w:val="clear" w:color="auto" w:fill="FFFFFF"/>
          </w:tcPr>
          <w:p w14:paraId="32F6AC7F" w14:textId="77777777" w:rsidR="00E32DB2" w:rsidRPr="000C5351" w:rsidRDefault="00E32DB2" w:rsidP="00681900">
            <w:pPr>
              <w:spacing w:after="0" w:line="240" w:lineRule="auto"/>
              <w:rPr>
                <w:rFonts w:ascii="Gill Sans MT" w:hAnsi="Gill Sans MT"/>
                <w:sz w:val="8"/>
              </w:rPr>
            </w:pPr>
          </w:p>
        </w:tc>
        <w:tc>
          <w:tcPr>
            <w:tcW w:w="3259" w:type="dxa"/>
            <w:vMerge w:val="restart"/>
            <w:shd w:val="clear" w:color="auto" w:fill="auto"/>
          </w:tcPr>
          <w:p w14:paraId="3C445429" w14:textId="77777777" w:rsidR="00E32DB2" w:rsidRPr="00C34B37" w:rsidRDefault="00E32DB2" w:rsidP="00681900">
            <w:pPr>
              <w:spacing w:after="0" w:line="240" w:lineRule="auto"/>
              <w:rPr>
                <w:rFonts w:ascii="Gill Sans MT" w:hAnsi="Gill Sans MT"/>
              </w:rPr>
            </w:pPr>
            <w:r>
              <w:rPr>
                <w:noProof/>
                <w:lang w:eastAsia="en-AU"/>
              </w:rPr>
              <w:drawing>
                <wp:inline distT="0" distB="0" distL="0" distR="0" wp14:anchorId="4195014B" wp14:editId="0C5F74B0">
                  <wp:extent cx="2247900" cy="22288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5D8270" w14:textId="77777777" w:rsidR="00E32DB2" w:rsidRPr="00C34B37" w:rsidRDefault="00E32DB2" w:rsidP="00681900">
            <w:pPr>
              <w:spacing w:after="0" w:line="240" w:lineRule="auto"/>
              <w:ind w:left="-251"/>
              <w:rPr>
                <w:rFonts w:ascii="Gill Sans MT" w:hAnsi="Gill Sans MT"/>
              </w:rPr>
            </w:pPr>
          </w:p>
        </w:tc>
      </w:tr>
      <w:tr w:rsidR="00E32DB2" w:rsidRPr="00C34B37" w14:paraId="7EB53722" w14:textId="77777777" w:rsidTr="00326900">
        <w:trPr>
          <w:trHeight w:val="87"/>
        </w:trPr>
        <w:tc>
          <w:tcPr>
            <w:tcW w:w="2977" w:type="dxa"/>
          </w:tcPr>
          <w:p w14:paraId="69EF56EB" w14:textId="77777777" w:rsidR="00E32DB2" w:rsidRPr="00915737" w:rsidRDefault="00E32DB2" w:rsidP="00681900">
            <w:pPr>
              <w:spacing w:after="0" w:line="240" w:lineRule="auto"/>
              <w:rPr>
                <w:rFonts w:ascii="Gill Sans MT" w:hAnsi="Gill Sans MT"/>
                <w:sz w:val="4"/>
                <w:szCs w:val="12"/>
              </w:rPr>
            </w:pPr>
          </w:p>
        </w:tc>
        <w:tc>
          <w:tcPr>
            <w:tcW w:w="284" w:type="dxa"/>
            <w:shd w:val="clear" w:color="auto" w:fill="FFFFFF"/>
          </w:tcPr>
          <w:p w14:paraId="1DE66877" w14:textId="77777777" w:rsidR="00E32DB2" w:rsidRPr="00C34B37" w:rsidRDefault="00E32DB2" w:rsidP="00681900">
            <w:pPr>
              <w:spacing w:after="0" w:line="240" w:lineRule="auto"/>
              <w:rPr>
                <w:rFonts w:ascii="Gill Sans MT" w:hAnsi="Gill Sans MT"/>
                <w:sz w:val="12"/>
                <w:szCs w:val="12"/>
              </w:rPr>
            </w:pPr>
          </w:p>
        </w:tc>
        <w:tc>
          <w:tcPr>
            <w:tcW w:w="3544" w:type="dxa"/>
          </w:tcPr>
          <w:p w14:paraId="2B4250B5" w14:textId="77777777" w:rsidR="00E32DB2" w:rsidRPr="00C34B37" w:rsidRDefault="00E32DB2" w:rsidP="00681900">
            <w:pPr>
              <w:spacing w:after="0" w:line="240" w:lineRule="auto"/>
              <w:rPr>
                <w:rFonts w:ascii="Gill Sans MT" w:hAnsi="Gill Sans MT"/>
                <w:sz w:val="12"/>
                <w:szCs w:val="12"/>
              </w:rPr>
            </w:pPr>
          </w:p>
        </w:tc>
        <w:tc>
          <w:tcPr>
            <w:tcW w:w="284" w:type="dxa"/>
            <w:shd w:val="clear" w:color="auto" w:fill="FFFFFF"/>
          </w:tcPr>
          <w:p w14:paraId="2A1F016D" w14:textId="77777777" w:rsidR="00E32DB2" w:rsidRPr="00C34B37" w:rsidRDefault="00E32DB2" w:rsidP="00681900">
            <w:pPr>
              <w:spacing w:after="0" w:line="240" w:lineRule="auto"/>
              <w:rPr>
                <w:rFonts w:ascii="Gill Sans MT" w:hAnsi="Gill Sans MT"/>
                <w:sz w:val="12"/>
                <w:szCs w:val="12"/>
              </w:rPr>
            </w:pPr>
          </w:p>
        </w:tc>
        <w:tc>
          <w:tcPr>
            <w:tcW w:w="3259" w:type="dxa"/>
            <w:vMerge/>
            <w:shd w:val="clear" w:color="auto" w:fill="auto"/>
          </w:tcPr>
          <w:p w14:paraId="02868BFE" w14:textId="77777777" w:rsidR="00E32DB2" w:rsidRPr="00C34B37" w:rsidRDefault="00E32DB2" w:rsidP="00681900">
            <w:pPr>
              <w:spacing w:after="0" w:line="240" w:lineRule="auto"/>
              <w:rPr>
                <w:rFonts w:ascii="Gill Sans MT" w:hAnsi="Gill Sans MT"/>
                <w:sz w:val="12"/>
                <w:szCs w:val="12"/>
              </w:rPr>
            </w:pPr>
          </w:p>
        </w:tc>
      </w:tr>
    </w:tbl>
    <w:p w14:paraId="09110579" w14:textId="77777777" w:rsidR="00E32DB2" w:rsidRPr="00E32DB2" w:rsidRDefault="00E32DB2" w:rsidP="00681900">
      <w:pPr>
        <w:spacing w:after="0"/>
        <w:rPr>
          <w:sz w:val="14"/>
        </w:rPr>
      </w:pPr>
    </w:p>
    <w:tbl>
      <w:tblPr>
        <w:tblW w:w="10348" w:type="dxa"/>
        <w:tblInd w:w="-601" w:type="dxa"/>
        <w:tblLayout w:type="fixed"/>
        <w:tblLook w:val="04A0" w:firstRow="1" w:lastRow="0" w:firstColumn="1" w:lastColumn="0" w:noHBand="0" w:noVBand="1"/>
      </w:tblPr>
      <w:tblGrid>
        <w:gridCol w:w="3119"/>
        <w:gridCol w:w="992"/>
        <w:gridCol w:w="993"/>
        <w:gridCol w:w="1025"/>
        <w:gridCol w:w="1526"/>
        <w:gridCol w:w="1276"/>
        <w:gridCol w:w="1417"/>
      </w:tblGrid>
      <w:tr w:rsidR="00E32DB2" w:rsidRPr="00C34B37" w14:paraId="745B7237" w14:textId="77777777" w:rsidTr="00E32DB2">
        <w:trPr>
          <w:trHeight w:val="283"/>
        </w:trPr>
        <w:tc>
          <w:tcPr>
            <w:tcW w:w="10348" w:type="dxa"/>
            <w:gridSpan w:val="7"/>
            <w:shd w:val="clear" w:color="auto" w:fill="A6A6A6" w:themeFill="background1" w:themeFillShade="A6"/>
          </w:tcPr>
          <w:p w14:paraId="6D0BAF92" w14:textId="77777777" w:rsidR="00E32DB2" w:rsidRPr="00C34B37" w:rsidRDefault="00E32DB2" w:rsidP="00681900">
            <w:pPr>
              <w:spacing w:after="0" w:line="240" w:lineRule="auto"/>
              <w:rPr>
                <w:rFonts w:ascii="Gill Sans MT" w:hAnsi="Gill Sans MT"/>
                <w:b/>
              </w:rPr>
            </w:pPr>
            <w:r w:rsidRPr="00C34B37">
              <w:rPr>
                <w:rFonts w:ascii="Gill Sans MT" w:hAnsi="Gill Sans MT"/>
                <w:b/>
              </w:rPr>
              <w:t>Key statistics at a glance</w:t>
            </w:r>
          </w:p>
        </w:tc>
      </w:tr>
      <w:tr w:rsidR="00E32DB2" w:rsidRPr="00E32DB2" w14:paraId="05496C96" w14:textId="77777777" w:rsidTr="00E32DB2">
        <w:trPr>
          <w:trHeight w:val="87"/>
        </w:trPr>
        <w:tc>
          <w:tcPr>
            <w:tcW w:w="10348" w:type="dxa"/>
            <w:gridSpan w:val="7"/>
            <w:shd w:val="clear" w:color="auto" w:fill="auto"/>
          </w:tcPr>
          <w:p w14:paraId="7339A3AF" w14:textId="77777777" w:rsidR="00E32DB2" w:rsidRPr="00E32DB2" w:rsidRDefault="00E32DB2" w:rsidP="00681900">
            <w:pPr>
              <w:spacing w:after="0" w:line="240" w:lineRule="auto"/>
              <w:rPr>
                <w:rFonts w:ascii="Gill Sans MT" w:hAnsi="Gill Sans MT"/>
                <w:b/>
                <w:sz w:val="6"/>
              </w:rPr>
            </w:pPr>
          </w:p>
        </w:tc>
      </w:tr>
      <w:tr w:rsidR="00E32DB2" w:rsidRPr="00E32DB2" w14:paraId="0E1B87A3" w14:textId="77777777" w:rsidTr="00E32DB2">
        <w:trPr>
          <w:trHeight w:val="684"/>
        </w:trPr>
        <w:tc>
          <w:tcPr>
            <w:tcW w:w="3119" w:type="dxa"/>
            <w:tcBorders>
              <w:top w:val="nil"/>
              <w:left w:val="nil"/>
              <w:bottom w:val="single" w:sz="12" w:space="0" w:color="FFFFFF"/>
              <w:right w:val="single" w:sz="4" w:space="0" w:color="FFFFFF"/>
            </w:tcBorders>
            <w:shd w:val="clear" w:color="auto" w:fill="F2F2F2" w:themeFill="background1" w:themeFillShade="F2"/>
            <w:hideMark/>
          </w:tcPr>
          <w:p w14:paraId="6CD75B48"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Indicator</w:t>
            </w:r>
          </w:p>
        </w:tc>
        <w:tc>
          <w:tcPr>
            <w:tcW w:w="992" w:type="dxa"/>
            <w:tcBorders>
              <w:top w:val="nil"/>
              <w:left w:val="single" w:sz="4" w:space="0" w:color="FFFFFF"/>
              <w:bottom w:val="single" w:sz="12" w:space="0" w:color="FFFFFF"/>
              <w:right w:val="single" w:sz="4" w:space="0" w:color="FFFFFF"/>
            </w:tcBorders>
            <w:shd w:val="clear" w:color="auto" w:fill="F2F2F2" w:themeFill="background1" w:themeFillShade="F2"/>
            <w:hideMark/>
          </w:tcPr>
          <w:p w14:paraId="1CD5BA1E"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Units</w:t>
            </w:r>
          </w:p>
        </w:tc>
        <w:tc>
          <w:tcPr>
            <w:tcW w:w="993" w:type="dxa"/>
            <w:tcBorders>
              <w:top w:val="nil"/>
              <w:left w:val="single" w:sz="4" w:space="0" w:color="FFFFFF"/>
              <w:bottom w:val="single" w:sz="12" w:space="0" w:color="FFFFFF"/>
              <w:right w:val="single" w:sz="4" w:space="0" w:color="FFFFFF"/>
            </w:tcBorders>
            <w:shd w:val="clear" w:color="auto" w:fill="F2F2F2" w:themeFill="background1" w:themeFillShade="F2"/>
            <w:hideMark/>
          </w:tcPr>
          <w:p w14:paraId="4E51C62C"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Period</w:t>
            </w:r>
          </w:p>
        </w:tc>
        <w:tc>
          <w:tcPr>
            <w:tcW w:w="1025" w:type="dxa"/>
            <w:tcBorders>
              <w:top w:val="nil"/>
              <w:left w:val="single" w:sz="4" w:space="0" w:color="FFFFFF"/>
              <w:bottom w:val="single" w:sz="12" w:space="0" w:color="FFFFFF"/>
              <w:right w:val="single" w:sz="4" w:space="0" w:color="FFFFFF"/>
            </w:tcBorders>
            <w:shd w:val="clear" w:color="auto" w:fill="F2F2F2" w:themeFill="background1" w:themeFillShade="F2"/>
            <w:hideMark/>
          </w:tcPr>
          <w:p w14:paraId="322C6572"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Data</w:t>
            </w:r>
          </w:p>
        </w:tc>
        <w:tc>
          <w:tcPr>
            <w:tcW w:w="1526" w:type="dxa"/>
            <w:tcBorders>
              <w:top w:val="nil"/>
              <w:left w:val="single" w:sz="4" w:space="0" w:color="FFFFFF"/>
              <w:bottom w:val="single" w:sz="12" w:space="0" w:color="FFFFFF"/>
              <w:right w:val="single" w:sz="4" w:space="0" w:color="FFFFFF"/>
            </w:tcBorders>
            <w:shd w:val="clear" w:color="auto" w:fill="F2F2F2" w:themeFill="background1" w:themeFillShade="F2"/>
            <w:hideMark/>
          </w:tcPr>
          <w:p w14:paraId="6C3C899F"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 xml:space="preserve">Change From </w:t>
            </w:r>
            <w:r w:rsidR="00C735D0">
              <w:rPr>
                <w:rFonts w:ascii="Tahoma" w:eastAsia="Times New Roman" w:hAnsi="Tahoma" w:cs="Tahoma"/>
                <w:b/>
                <w:bCs/>
                <w:sz w:val="16"/>
                <w:szCs w:val="16"/>
                <w:lang w:eastAsia="en-AU"/>
              </w:rPr>
              <w:br/>
              <w:t>five years a</w:t>
            </w:r>
            <w:r w:rsidRPr="00E32DB2">
              <w:rPr>
                <w:rFonts w:ascii="Tahoma" w:eastAsia="Times New Roman" w:hAnsi="Tahoma" w:cs="Tahoma"/>
                <w:b/>
                <w:bCs/>
                <w:sz w:val="16"/>
                <w:szCs w:val="16"/>
                <w:lang w:eastAsia="en-AU"/>
              </w:rPr>
              <w:t>go</w:t>
            </w:r>
          </w:p>
        </w:tc>
        <w:tc>
          <w:tcPr>
            <w:tcW w:w="1276" w:type="dxa"/>
            <w:tcBorders>
              <w:top w:val="nil"/>
              <w:left w:val="single" w:sz="4" w:space="0" w:color="FFFFFF"/>
              <w:bottom w:val="single" w:sz="12" w:space="0" w:color="FFFFFF"/>
              <w:right w:val="single" w:sz="4" w:space="0" w:color="FFFFFF"/>
            </w:tcBorders>
            <w:shd w:val="clear" w:color="auto" w:fill="F2F2F2" w:themeFill="background1" w:themeFillShade="F2"/>
            <w:hideMark/>
          </w:tcPr>
          <w:p w14:paraId="69789657"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Per</w:t>
            </w:r>
            <w:r w:rsidR="00C735D0">
              <w:rPr>
                <w:rFonts w:ascii="Tahoma" w:eastAsia="Times New Roman" w:hAnsi="Tahoma" w:cs="Tahoma"/>
                <w:b/>
                <w:bCs/>
                <w:sz w:val="16"/>
                <w:szCs w:val="16"/>
                <w:lang w:eastAsia="en-AU"/>
              </w:rPr>
              <w:t xml:space="preserve"> </w:t>
            </w:r>
            <w:r w:rsidRPr="00E32DB2">
              <w:rPr>
                <w:rFonts w:ascii="Tahoma" w:eastAsia="Times New Roman" w:hAnsi="Tahoma" w:cs="Tahoma"/>
                <w:b/>
                <w:bCs/>
                <w:sz w:val="16"/>
                <w:szCs w:val="16"/>
                <w:lang w:eastAsia="en-AU"/>
              </w:rPr>
              <w:t>cent of Tasmania</w:t>
            </w:r>
          </w:p>
        </w:tc>
        <w:tc>
          <w:tcPr>
            <w:tcW w:w="1417" w:type="dxa"/>
            <w:tcBorders>
              <w:top w:val="nil"/>
              <w:left w:val="single" w:sz="4" w:space="0" w:color="FFFFFF"/>
              <w:bottom w:val="single" w:sz="12" w:space="0" w:color="FFFFFF"/>
              <w:right w:val="nil"/>
            </w:tcBorders>
            <w:shd w:val="clear" w:color="auto" w:fill="F2F2F2" w:themeFill="background1" w:themeFillShade="F2"/>
            <w:hideMark/>
          </w:tcPr>
          <w:p w14:paraId="522C71EE" w14:textId="77777777" w:rsidR="00E32DB2" w:rsidRPr="00E32DB2" w:rsidRDefault="00E32DB2" w:rsidP="00681900">
            <w:pPr>
              <w:spacing w:after="0" w:line="240" w:lineRule="auto"/>
              <w:rPr>
                <w:rFonts w:ascii="Tahoma" w:eastAsia="Times New Roman" w:hAnsi="Tahoma" w:cs="Tahoma"/>
                <w:b/>
                <w:bCs/>
                <w:sz w:val="16"/>
                <w:szCs w:val="16"/>
                <w:lang w:eastAsia="en-AU"/>
              </w:rPr>
            </w:pPr>
            <w:r w:rsidRPr="00E32DB2">
              <w:rPr>
                <w:rFonts w:ascii="Tahoma" w:eastAsia="Times New Roman" w:hAnsi="Tahoma" w:cs="Tahoma"/>
                <w:b/>
                <w:bCs/>
                <w:sz w:val="16"/>
                <w:szCs w:val="16"/>
                <w:lang w:eastAsia="en-AU"/>
              </w:rPr>
              <w:t>Per</w:t>
            </w:r>
            <w:r w:rsidR="00C735D0">
              <w:rPr>
                <w:rFonts w:ascii="Tahoma" w:eastAsia="Times New Roman" w:hAnsi="Tahoma" w:cs="Tahoma"/>
                <w:b/>
                <w:bCs/>
                <w:sz w:val="16"/>
                <w:szCs w:val="16"/>
                <w:lang w:eastAsia="en-AU"/>
              </w:rPr>
              <w:t xml:space="preserve"> </w:t>
            </w:r>
            <w:r w:rsidRPr="00E32DB2">
              <w:rPr>
                <w:rFonts w:ascii="Tahoma" w:eastAsia="Times New Roman" w:hAnsi="Tahoma" w:cs="Tahoma"/>
                <w:b/>
                <w:bCs/>
                <w:sz w:val="16"/>
                <w:szCs w:val="16"/>
                <w:lang w:eastAsia="en-AU"/>
              </w:rPr>
              <w:t>cent of Australia</w:t>
            </w:r>
          </w:p>
        </w:tc>
      </w:tr>
      <w:tr w:rsidR="00E32DB2" w:rsidRPr="00E32DB2" w14:paraId="0E389BB2" w14:textId="77777777" w:rsidTr="00E32DB2">
        <w:trPr>
          <w:trHeight w:val="225"/>
        </w:trPr>
        <w:tc>
          <w:tcPr>
            <w:tcW w:w="3119" w:type="dxa"/>
            <w:tcBorders>
              <w:top w:val="single" w:sz="4" w:space="0" w:color="FFFFFF"/>
              <w:left w:val="nil"/>
              <w:bottom w:val="single" w:sz="4" w:space="0" w:color="FFFFFF"/>
              <w:right w:val="single" w:sz="4" w:space="0" w:color="FFFFFF"/>
            </w:tcBorders>
            <w:shd w:val="clear" w:color="auto" w:fill="A6A6A6" w:themeFill="background1" w:themeFillShade="A6"/>
            <w:noWrap/>
            <w:vAlign w:val="bottom"/>
            <w:hideMark/>
          </w:tcPr>
          <w:p w14:paraId="512F3954" w14:textId="77777777" w:rsidR="00E32DB2" w:rsidRPr="00E32DB2" w:rsidRDefault="00CE57DC" w:rsidP="00681900">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Industry value a</w:t>
            </w:r>
            <w:r w:rsidR="00E32DB2" w:rsidRPr="00E32DB2">
              <w:rPr>
                <w:rFonts w:ascii="Tahoma" w:eastAsia="Times New Roman" w:hAnsi="Tahoma" w:cs="Tahoma"/>
                <w:sz w:val="16"/>
                <w:szCs w:val="16"/>
                <w:lang w:eastAsia="en-AU"/>
              </w:rPr>
              <w:t>dd</w:t>
            </w:r>
            <w:r w:rsidR="00E32DB2" w:rsidRPr="00E32DB2">
              <w:rPr>
                <w:rFonts w:ascii="Tahoma" w:eastAsia="Times New Roman" w:hAnsi="Tahoma" w:cs="Tahoma"/>
                <w:sz w:val="16"/>
                <w:szCs w:val="16"/>
                <w:vertAlign w:val="superscript"/>
                <w:lang w:eastAsia="en-AU"/>
              </w:rPr>
              <w:t xml:space="preserve"> (a)</w:t>
            </w:r>
          </w:p>
        </w:tc>
        <w:tc>
          <w:tcPr>
            <w:tcW w:w="992"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1BB71F70"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$M</w:t>
            </w:r>
          </w:p>
        </w:tc>
        <w:tc>
          <w:tcPr>
            <w:tcW w:w="993"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5B3DCFF2"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2012-13</w:t>
            </w:r>
          </w:p>
        </w:tc>
        <w:tc>
          <w:tcPr>
            <w:tcW w:w="1025"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6D5F62F5"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$574</w:t>
            </w:r>
          </w:p>
        </w:tc>
        <w:tc>
          <w:tcPr>
            <w:tcW w:w="152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7F644E5B"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461EF4EA"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2.4%</w:t>
            </w:r>
          </w:p>
        </w:tc>
        <w:tc>
          <w:tcPr>
            <w:tcW w:w="1417" w:type="dxa"/>
            <w:tcBorders>
              <w:top w:val="single" w:sz="4" w:space="0" w:color="FFFFFF"/>
              <w:left w:val="single" w:sz="4" w:space="0" w:color="FFFFFF"/>
              <w:bottom w:val="single" w:sz="4" w:space="0" w:color="FFFFFF"/>
              <w:right w:val="nil"/>
            </w:tcBorders>
            <w:shd w:val="clear" w:color="auto" w:fill="A6A6A6" w:themeFill="background1" w:themeFillShade="A6"/>
            <w:noWrap/>
            <w:vAlign w:val="bottom"/>
            <w:hideMark/>
          </w:tcPr>
          <w:p w14:paraId="2CA69897"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0.6%</w:t>
            </w:r>
          </w:p>
        </w:tc>
      </w:tr>
      <w:tr w:rsidR="00E32DB2" w:rsidRPr="00E32DB2" w14:paraId="1B3D0C33" w14:textId="77777777" w:rsidTr="00E32DB2">
        <w:trPr>
          <w:trHeight w:val="225"/>
        </w:trPr>
        <w:tc>
          <w:tcPr>
            <w:tcW w:w="3119" w:type="dxa"/>
            <w:tcBorders>
              <w:top w:val="single" w:sz="4" w:space="0" w:color="FFFFFF"/>
              <w:left w:val="nil"/>
              <w:bottom w:val="single" w:sz="4" w:space="0" w:color="FFFFFF"/>
              <w:right w:val="single" w:sz="4" w:space="0" w:color="FFFFFF"/>
            </w:tcBorders>
            <w:shd w:val="clear" w:color="auto" w:fill="F2F2F2" w:themeFill="background1" w:themeFillShade="F2"/>
            <w:noWrap/>
            <w:vAlign w:val="bottom"/>
            <w:hideMark/>
          </w:tcPr>
          <w:p w14:paraId="2CB9B00A" w14:textId="77777777" w:rsidR="00E32DB2" w:rsidRPr="00E32DB2" w:rsidRDefault="00E32DB2" w:rsidP="00681900">
            <w:pPr>
              <w:spacing w:after="0" w:line="240" w:lineRule="auto"/>
              <w:rPr>
                <w:rFonts w:ascii="Tahoma" w:eastAsia="Times New Roman" w:hAnsi="Tahoma" w:cs="Tahoma"/>
                <w:sz w:val="16"/>
                <w:szCs w:val="16"/>
                <w:lang w:eastAsia="en-AU"/>
              </w:rPr>
            </w:pPr>
            <w:r w:rsidRPr="00E32DB2">
              <w:rPr>
                <w:rFonts w:ascii="Tahoma" w:eastAsia="Times New Roman" w:hAnsi="Tahoma" w:cs="Tahoma"/>
                <w:sz w:val="16"/>
                <w:szCs w:val="16"/>
                <w:lang w:eastAsia="en-AU"/>
              </w:rPr>
              <w:t xml:space="preserve">Employment </w:t>
            </w:r>
            <w:r w:rsidRPr="00E32DB2">
              <w:rPr>
                <w:rFonts w:ascii="Tahoma" w:eastAsia="Times New Roman" w:hAnsi="Tahoma" w:cs="Tahoma"/>
                <w:sz w:val="16"/>
                <w:szCs w:val="16"/>
                <w:vertAlign w:val="superscript"/>
                <w:lang w:eastAsia="en-AU"/>
              </w:rPr>
              <w:t>(b)</w:t>
            </w:r>
          </w:p>
        </w:tc>
        <w:tc>
          <w:tcPr>
            <w:tcW w:w="992"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6AA34832"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No.</w:t>
            </w:r>
          </w:p>
        </w:tc>
        <w:tc>
          <w:tcPr>
            <w:tcW w:w="993"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15159AD5"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78E189BC"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 xml:space="preserve">3 </w:t>
            </w:r>
            <w:r w:rsidR="00E32DB2" w:rsidRPr="00E32DB2">
              <w:rPr>
                <w:rFonts w:ascii="Tahoma" w:eastAsia="Times New Roman" w:hAnsi="Tahoma" w:cs="Tahoma"/>
                <w:color w:val="000000"/>
                <w:sz w:val="16"/>
                <w:szCs w:val="16"/>
                <w:lang w:eastAsia="en-AU"/>
              </w:rPr>
              <w:t>358</w:t>
            </w:r>
          </w:p>
        </w:tc>
        <w:tc>
          <w:tcPr>
            <w:tcW w:w="1526"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7F6DDF83"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-34.3%</w:t>
            </w:r>
          </w:p>
        </w:tc>
        <w:tc>
          <w:tcPr>
            <w:tcW w:w="1276"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3524AC49"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1.6%</w:t>
            </w:r>
          </w:p>
        </w:tc>
        <w:tc>
          <w:tcPr>
            <w:tcW w:w="1417" w:type="dxa"/>
            <w:tcBorders>
              <w:top w:val="single" w:sz="4" w:space="0" w:color="FFFFFF"/>
              <w:left w:val="single" w:sz="4" w:space="0" w:color="FFFFFF"/>
              <w:bottom w:val="single" w:sz="4" w:space="0" w:color="FFFFFF"/>
              <w:right w:val="nil"/>
            </w:tcBorders>
            <w:shd w:val="clear" w:color="auto" w:fill="F2F2F2" w:themeFill="background1" w:themeFillShade="F2"/>
            <w:noWrap/>
            <w:vAlign w:val="bottom"/>
            <w:hideMark/>
          </w:tcPr>
          <w:p w14:paraId="5AF2448F"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0.7%</w:t>
            </w:r>
          </w:p>
        </w:tc>
      </w:tr>
      <w:tr w:rsidR="00E32DB2" w:rsidRPr="00E32DB2" w14:paraId="5A8A2443" w14:textId="77777777" w:rsidTr="00E32DB2">
        <w:trPr>
          <w:trHeight w:val="225"/>
        </w:trPr>
        <w:tc>
          <w:tcPr>
            <w:tcW w:w="3119" w:type="dxa"/>
            <w:tcBorders>
              <w:top w:val="single" w:sz="4" w:space="0" w:color="FFFFFF"/>
              <w:left w:val="nil"/>
              <w:bottom w:val="single" w:sz="4" w:space="0" w:color="FFFFFF"/>
              <w:right w:val="single" w:sz="4" w:space="0" w:color="FFFFFF"/>
            </w:tcBorders>
            <w:shd w:val="clear" w:color="auto" w:fill="A6A6A6" w:themeFill="background1" w:themeFillShade="A6"/>
            <w:noWrap/>
            <w:vAlign w:val="bottom"/>
            <w:hideMark/>
          </w:tcPr>
          <w:p w14:paraId="1009C9BC" w14:textId="77777777" w:rsidR="00E32DB2" w:rsidRPr="00E32DB2" w:rsidRDefault="00CE57DC" w:rsidP="00681900">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International e</w:t>
            </w:r>
            <w:r w:rsidR="00E32DB2" w:rsidRPr="00E32DB2">
              <w:rPr>
                <w:rFonts w:ascii="Tahoma" w:eastAsia="Times New Roman" w:hAnsi="Tahoma" w:cs="Tahoma"/>
                <w:sz w:val="16"/>
                <w:szCs w:val="16"/>
                <w:lang w:eastAsia="en-AU"/>
              </w:rPr>
              <w:t>xports</w:t>
            </w:r>
            <w:r w:rsidR="00E32DB2" w:rsidRPr="00E32DB2">
              <w:rPr>
                <w:rFonts w:ascii="Tahoma" w:eastAsia="Times New Roman" w:hAnsi="Tahoma" w:cs="Tahoma"/>
                <w:sz w:val="16"/>
                <w:szCs w:val="16"/>
                <w:vertAlign w:val="superscript"/>
                <w:lang w:eastAsia="en-AU"/>
              </w:rPr>
              <w:t xml:space="preserve"> (c)</w:t>
            </w:r>
          </w:p>
        </w:tc>
        <w:tc>
          <w:tcPr>
            <w:tcW w:w="992"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628CF687"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$M</w:t>
            </w:r>
          </w:p>
        </w:tc>
        <w:tc>
          <w:tcPr>
            <w:tcW w:w="993"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54DA92F3"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2012-13</w:t>
            </w:r>
          </w:p>
        </w:tc>
        <w:tc>
          <w:tcPr>
            <w:tcW w:w="1025"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6044626C"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$128</w:t>
            </w:r>
          </w:p>
        </w:tc>
        <w:tc>
          <w:tcPr>
            <w:tcW w:w="152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3A80A386"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740E20CC"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4.2%</w:t>
            </w:r>
          </w:p>
        </w:tc>
        <w:tc>
          <w:tcPr>
            <w:tcW w:w="1417" w:type="dxa"/>
            <w:tcBorders>
              <w:top w:val="single" w:sz="4" w:space="0" w:color="FFFFFF"/>
              <w:left w:val="single" w:sz="4" w:space="0" w:color="FFFFFF"/>
              <w:bottom w:val="single" w:sz="4" w:space="0" w:color="FFFFFF"/>
              <w:right w:val="nil"/>
            </w:tcBorders>
            <w:shd w:val="clear" w:color="auto" w:fill="A6A6A6" w:themeFill="background1" w:themeFillShade="A6"/>
            <w:noWrap/>
            <w:vAlign w:val="bottom"/>
            <w:hideMark/>
          </w:tcPr>
          <w:p w14:paraId="5D0D1922"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0.4%</w:t>
            </w:r>
          </w:p>
        </w:tc>
      </w:tr>
      <w:tr w:rsidR="00E32DB2" w:rsidRPr="00E32DB2" w14:paraId="26E0A342" w14:textId="77777777" w:rsidTr="00E32DB2">
        <w:trPr>
          <w:trHeight w:val="225"/>
        </w:trPr>
        <w:tc>
          <w:tcPr>
            <w:tcW w:w="3119" w:type="dxa"/>
            <w:tcBorders>
              <w:top w:val="single" w:sz="4" w:space="0" w:color="FFFFFF"/>
              <w:left w:val="nil"/>
              <w:bottom w:val="single" w:sz="4" w:space="0" w:color="FFFFFF"/>
              <w:right w:val="single" w:sz="4" w:space="0" w:color="FFFFFF"/>
            </w:tcBorders>
            <w:shd w:val="clear" w:color="auto" w:fill="F2F2F2" w:themeFill="background1" w:themeFillShade="F2"/>
            <w:noWrap/>
            <w:vAlign w:val="bottom"/>
            <w:hideMark/>
          </w:tcPr>
          <w:p w14:paraId="009E024C" w14:textId="77777777" w:rsidR="00E32DB2" w:rsidRPr="00E32DB2" w:rsidRDefault="00CE57DC" w:rsidP="00681900">
            <w:pPr>
              <w:spacing w:after="0" w:line="240" w:lineRule="auto"/>
              <w:rPr>
                <w:rFonts w:ascii="Tahoma" w:eastAsia="Times New Roman" w:hAnsi="Tahoma" w:cs="Tahoma"/>
                <w:sz w:val="16"/>
                <w:szCs w:val="16"/>
                <w:lang w:eastAsia="en-AU"/>
              </w:rPr>
            </w:pPr>
            <w:r>
              <w:rPr>
                <w:rFonts w:ascii="Tahoma" w:eastAsia="Times New Roman" w:hAnsi="Tahoma" w:cs="Tahoma"/>
                <w:sz w:val="16"/>
                <w:szCs w:val="16"/>
                <w:lang w:eastAsia="en-AU"/>
              </w:rPr>
              <w:t>Incomes (a</w:t>
            </w:r>
            <w:r w:rsidR="00E32DB2" w:rsidRPr="00E32DB2">
              <w:rPr>
                <w:rFonts w:ascii="Tahoma" w:eastAsia="Times New Roman" w:hAnsi="Tahoma" w:cs="Tahoma"/>
                <w:sz w:val="16"/>
                <w:szCs w:val="16"/>
                <w:lang w:eastAsia="en-AU"/>
              </w:rPr>
              <w:t xml:space="preserve">verage weekly) </w:t>
            </w:r>
            <w:r w:rsidR="00E32DB2" w:rsidRPr="00E32DB2">
              <w:rPr>
                <w:rFonts w:ascii="Tahoma" w:eastAsia="Times New Roman" w:hAnsi="Tahoma" w:cs="Tahoma"/>
                <w:sz w:val="16"/>
                <w:szCs w:val="16"/>
                <w:vertAlign w:val="superscript"/>
                <w:lang w:eastAsia="en-AU"/>
              </w:rPr>
              <w:t>(d)</w:t>
            </w:r>
          </w:p>
        </w:tc>
        <w:tc>
          <w:tcPr>
            <w:tcW w:w="992"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48CADCEC"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w:t>
            </w:r>
          </w:p>
        </w:tc>
        <w:tc>
          <w:tcPr>
            <w:tcW w:w="993"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298A363C"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364F5B56"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$944</w:t>
            </w:r>
          </w:p>
        </w:tc>
        <w:tc>
          <w:tcPr>
            <w:tcW w:w="1526"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1D6FCD48"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10.4%</w:t>
            </w:r>
          </w:p>
        </w:tc>
        <w:tc>
          <w:tcPr>
            <w:tcW w:w="1276"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6523113B"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107.0%</w:t>
            </w:r>
          </w:p>
        </w:tc>
        <w:tc>
          <w:tcPr>
            <w:tcW w:w="1417" w:type="dxa"/>
            <w:tcBorders>
              <w:top w:val="single" w:sz="4" w:space="0" w:color="FFFFFF"/>
              <w:left w:val="single" w:sz="4" w:space="0" w:color="FFFFFF"/>
              <w:bottom w:val="single" w:sz="4" w:space="0" w:color="FFFFFF"/>
              <w:right w:val="nil"/>
            </w:tcBorders>
            <w:shd w:val="clear" w:color="auto" w:fill="F2F2F2" w:themeFill="background1" w:themeFillShade="F2"/>
            <w:noWrap/>
            <w:vAlign w:val="bottom"/>
            <w:hideMark/>
          </w:tcPr>
          <w:p w14:paraId="0D58E89E"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112.2%</w:t>
            </w:r>
          </w:p>
        </w:tc>
      </w:tr>
      <w:tr w:rsidR="00E32DB2" w:rsidRPr="00E32DB2" w14:paraId="227AA677" w14:textId="77777777" w:rsidTr="00E32DB2">
        <w:trPr>
          <w:trHeight w:val="225"/>
        </w:trPr>
        <w:tc>
          <w:tcPr>
            <w:tcW w:w="3119" w:type="dxa"/>
            <w:tcBorders>
              <w:top w:val="single" w:sz="4" w:space="0" w:color="FFFFFF"/>
              <w:left w:val="nil"/>
              <w:bottom w:val="single" w:sz="4" w:space="0" w:color="FFFFFF"/>
              <w:right w:val="single" w:sz="4" w:space="0" w:color="FFFFFF"/>
            </w:tcBorders>
            <w:shd w:val="clear" w:color="auto" w:fill="A6A6A6" w:themeFill="background1" w:themeFillShade="A6"/>
            <w:noWrap/>
            <w:vAlign w:val="bottom"/>
            <w:hideMark/>
          </w:tcPr>
          <w:p w14:paraId="12E3D4C0" w14:textId="77777777" w:rsidR="00E32DB2" w:rsidRPr="00E32DB2" w:rsidRDefault="00E32DB2" w:rsidP="00681900">
            <w:pPr>
              <w:spacing w:after="0" w:line="240" w:lineRule="auto"/>
              <w:rPr>
                <w:rFonts w:ascii="Tahoma" w:eastAsia="Times New Roman" w:hAnsi="Tahoma" w:cs="Tahoma"/>
                <w:sz w:val="16"/>
                <w:szCs w:val="16"/>
                <w:lang w:eastAsia="en-AU"/>
              </w:rPr>
            </w:pPr>
            <w:r w:rsidRPr="00E32DB2">
              <w:rPr>
                <w:rFonts w:ascii="Tahoma" w:eastAsia="Times New Roman" w:hAnsi="Tahoma" w:cs="Tahoma"/>
                <w:sz w:val="16"/>
                <w:szCs w:val="16"/>
                <w:lang w:eastAsia="en-AU"/>
              </w:rPr>
              <w:t>Education</w:t>
            </w:r>
            <w:r w:rsidRPr="00E32DB2">
              <w:rPr>
                <w:rFonts w:ascii="Tahoma" w:eastAsia="Times New Roman" w:hAnsi="Tahoma" w:cs="Tahoma"/>
                <w:sz w:val="16"/>
                <w:szCs w:val="16"/>
                <w:vertAlign w:val="superscript"/>
                <w:lang w:eastAsia="en-AU"/>
              </w:rPr>
              <w:t xml:space="preserve"> (e)</w:t>
            </w:r>
          </w:p>
        </w:tc>
        <w:tc>
          <w:tcPr>
            <w:tcW w:w="992"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49657EF3"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No.</w:t>
            </w:r>
          </w:p>
        </w:tc>
        <w:tc>
          <w:tcPr>
            <w:tcW w:w="993"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55C408C4"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5C9134E6"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855</w:t>
            </w:r>
          </w:p>
        </w:tc>
        <w:tc>
          <w:tcPr>
            <w:tcW w:w="152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49A73265"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bottom"/>
            <w:hideMark/>
          </w:tcPr>
          <w:p w14:paraId="2E453A8A"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25.5%</w:t>
            </w:r>
          </w:p>
        </w:tc>
        <w:tc>
          <w:tcPr>
            <w:tcW w:w="1417" w:type="dxa"/>
            <w:tcBorders>
              <w:top w:val="single" w:sz="4" w:space="0" w:color="FFFFFF"/>
              <w:left w:val="single" w:sz="4" w:space="0" w:color="FFFFFF"/>
              <w:bottom w:val="single" w:sz="4" w:space="0" w:color="FFFFFF"/>
              <w:right w:val="nil"/>
            </w:tcBorders>
            <w:shd w:val="clear" w:color="auto" w:fill="A6A6A6" w:themeFill="background1" w:themeFillShade="A6"/>
            <w:noWrap/>
            <w:vAlign w:val="bottom"/>
            <w:hideMark/>
          </w:tcPr>
          <w:p w14:paraId="30E37E8D"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40.0%</w:t>
            </w:r>
          </w:p>
        </w:tc>
      </w:tr>
      <w:tr w:rsidR="00E32DB2" w:rsidRPr="00E32DB2" w14:paraId="7C81DCA0" w14:textId="77777777" w:rsidTr="00E32DB2">
        <w:trPr>
          <w:trHeight w:val="225"/>
        </w:trPr>
        <w:tc>
          <w:tcPr>
            <w:tcW w:w="3119" w:type="dxa"/>
            <w:tcBorders>
              <w:top w:val="single" w:sz="4" w:space="0" w:color="FFFFFF"/>
              <w:left w:val="nil"/>
              <w:bottom w:val="nil"/>
              <w:right w:val="single" w:sz="4" w:space="0" w:color="FFFFFF"/>
            </w:tcBorders>
            <w:shd w:val="clear" w:color="auto" w:fill="F2F2F2" w:themeFill="background1" w:themeFillShade="F2"/>
            <w:noWrap/>
            <w:vAlign w:val="bottom"/>
            <w:hideMark/>
          </w:tcPr>
          <w:p w14:paraId="5650E265" w14:textId="77777777" w:rsidR="00E32DB2" w:rsidRPr="00E32DB2" w:rsidRDefault="00E32DB2" w:rsidP="00681900">
            <w:pPr>
              <w:spacing w:after="0" w:line="240" w:lineRule="auto"/>
              <w:rPr>
                <w:rFonts w:ascii="Tahoma" w:eastAsia="Times New Roman" w:hAnsi="Tahoma" w:cs="Tahoma"/>
                <w:sz w:val="16"/>
                <w:szCs w:val="16"/>
                <w:lang w:eastAsia="en-AU"/>
              </w:rPr>
            </w:pPr>
            <w:r w:rsidRPr="00E32DB2">
              <w:rPr>
                <w:rFonts w:ascii="Tahoma" w:eastAsia="Times New Roman" w:hAnsi="Tahoma" w:cs="Tahoma"/>
                <w:sz w:val="16"/>
                <w:szCs w:val="16"/>
                <w:lang w:eastAsia="en-AU"/>
              </w:rPr>
              <w:t xml:space="preserve">Employment (proportion full/part) </w:t>
            </w:r>
            <w:r w:rsidRPr="00E32DB2">
              <w:rPr>
                <w:rFonts w:ascii="Tahoma" w:eastAsia="Times New Roman" w:hAnsi="Tahoma" w:cs="Tahoma"/>
                <w:sz w:val="16"/>
                <w:szCs w:val="16"/>
                <w:vertAlign w:val="superscript"/>
                <w:lang w:eastAsia="en-AU"/>
              </w:rPr>
              <w:t xml:space="preserve"> (f)</w:t>
            </w:r>
          </w:p>
        </w:tc>
        <w:tc>
          <w:tcPr>
            <w:tcW w:w="992" w:type="dxa"/>
            <w:tcBorders>
              <w:top w:val="single" w:sz="4" w:space="0" w:color="FFFFFF"/>
              <w:left w:val="single" w:sz="4" w:space="0" w:color="FFFFFF"/>
              <w:bottom w:val="nil"/>
              <w:right w:val="single" w:sz="4" w:space="0" w:color="FFFFFF"/>
            </w:tcBorders>
            <w:shd w:val="clear" w:color="auto" w:fill="F2F2F2" w:themeFill="background1" w:themeFillShade="F2"/>
            <w:noWrap/>
            <w:vAlign w:val="bottom"/>
            <w:hideMark/>
          </w:tcPr>
          <w:p w14:paraId="780A1B3F"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Type</w:t>
            </w:r>
          </w:p>
        </w:tc>
        <w:tc>
          <w:tcPr>
            <w:tcW w:w="993" w:type="dxa"/>
            <w:tcBorders>
              <w:top w:val="single" w:sz="4" w:space="0" w:color="FFFFFF"/>
              <w:left w:val="single" w:sz="4" w:space="0" w:color="FFFFFF"/>
              <w:bottom w:val="nil"/>
              <w:right w:val="single" w:sz="4" w:space="0" w:color="FFFFFF"/>
            </w:tcBorders>
            <w:shd w:val="clear" w:color="auto" w:fill="F2F2F2" w:themeFill="background1" w:themeFillShade="F2"/>
            <w:noWrap/>
            <w:vAlign w:val="bottom"/>
            <w:hideMark/>
          </w:tcPr>
          <w:p w14:paraId="36C448EE"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2011</w:t>
            </w:r>
          </w:p>
        </w:tc>
        <w:tc>
          <w:tcPr>
            <w:tcW w:w="1025" w:type="dxa"/>
            <w:tcBorders>
              <w:top w:val="single" w:sz="4" w:space="0" w:color="FFFFFF"/>
              <w:left w:val="single" w:sz="4" w:space="0" w:color="FFFFFF"/>
              <w:bottom w:val="nil"/>
              <w:right w:val="single" w:sz="4" w:space="0" w:color="FFFFFF"/>
            </w:tcBorders>
            <w:shd w:val="clear" w:color="auto" w:fill="F2F2F2" w:themeFill="background1" w:themeFillShade="F2"/>
            <w:noWrap/>
            <w:vAlign w:val="bottom"/>
            <w:hideMark/>
          </w:tcPr>
          <w:p w14:paraId="232EB4D8"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Full-t</w:t>
            </w:r>
            <w:r w:rsidR="00E32DB2" w:rsidRPr="00E32DB2">
              <w:rPr>
                <w:rFonts w:ascii="Tahoma" w:eastAsia="Times New Roman" w:hAnsi="Tahoma" w:cs="Tahoma"/>
                <w:color w:val="000000"/>
                <w:sz w:val="16"/>
                <w:szCs w:val="16"/>
                <w:lang w:eastAsia="en-AU"/>
              </w:rPr>
              <w:t>ime</w:t>
            </w:r>
          </w:p>
        </w:tc>
        <w:tc>
          <w:tcPr>
            <w:tcW w:w="1526" w:type="dxa"/>
            <w:tcBorders>
              <w:top w:val="single" w:sz="4" w:space="0" w:color="FFFFFF"/>
              <w:left w:val="single" w:sz="4" w:space="0" w:color="FFFFFF"/>
              <w:bottom w:val="nil"/>
              <w:right w:val="single" w:sz="4" w:space="0" w:color="FFFFFF"/>
            </w:tcBorders>
            <w:shd w:val="clear" w:color="auto" w:fill="F2F2F2" w:themeFill="background1" w:themeFillShade="F2"/>
            <w:noWrap/>
            <w:vAlign w:val="bottom"/>
            <w:hideMark/>
          </w:tcPr>
          <w:p w14:paraId="51DC88E7" w14:textId="77777777" w:rsidR="00E32DB2" w:rsidRPr="00E32DB2" w:rsidRDefault="00CE57DC" w:rsidP="00681900">
            <w:pPr>
              <w:spacing w:after="0" w:line="240" w:lineRule="auto"/>
              <w:rPr>
                <w:rFonts w:ascii="Tahoma" w:eastAsia="Times New Roman" w:hAnsi="Tahoma" w:cs="Tahoma"/>
                <w:color w:val="000000"/>
                <w:sz w:val="16"/>
                <w:szCs w:val="16"/>
                <w:lang w:eastAsia="en-AU"/>
              </w:rPr>
            </w:pPr>
            <w:r>
              <w:rPr>
                <w:rFonts w:ascii="Tahoma" w:eastAsia="Times New Roman" w:hAnsi="Tahoma" w:cs="Tahoma"/>
                <w:color w:val="000000"/>
                <w:sz w:val="16"/>
                <w:szCs w:val="16"/>
                <w:lang w:eastAsia="en-AU"/>
              </w:rPr>
              <w:t>NA</w:t>
            </w:r>
          </w:p>
        </w:tc>
        <w:tc>
          <w:tcPr>
            <w:tcW w:w="1276" w:type="dxa"/>
            <w:tcBorders>
              <w:top w:val="single" w:sz="4" w:space="0" w:color="FFFFFF"/>
              <w:left w:val="single" w:sz="4" w:space="0" w:color="FFFFFF"/>
              <w:bottom w:val="nil"/>
              <w:right w:val="single" w:sz="4" w:space="0" w:color="FFFFFF"/>
            </w:tcBorders>
            <w:shd w:val="clear" w:color="auto" w:fill="F2F2F2" w:themeFill="background1" w:themeFillShade="F2"/>
            <w:noWrap/>
            <w:vAlign w:val="bottom"/>
            <w:hideMark/>
          </w:tcPr>
          <w:p w14:paraId="147CD5DF"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82.8%</w:t>
            </w:r>
          </w:p>
        </w:tc>
        <w:tc>
          <w:tcPr>
            <w:tcW w:w="1417" w:type="dxa"/>
            <w:tcBorders>
              <w:top w:val="single" w:sz="4" w:space="0" w:color="FFFFFF"/>
              <w:left w:val="single" w:sz="4" w:space="0" w:color="FFFFFF"/>
              <w:bottom w:val="nil"/>
              <w:right w:val="nil"/>
            </w:tcBorders>
            <w:shd w:val="clear" w:color="auto" w:fill="F2F2F2" w:themeFill="background1" w:themeFillShade="F2"/>
            <w:noWrap/>
            <w:vAlign w:val="bottom"/>
            <w:hideMark/>
          </w:tcPr>
          <w:p w14:paraId="14257839" w14:textId="77777777" w:rsidR="00E32DB2" w:rsidRPr="00E32DB2" w:rsidRDefault="00E32DB2" w:rsidP="00681900">
            <w:pPr>
              <w:spacing w:after="0" w:line="240" w:lineRule="auto"/>
              <w:rPr>
                <w:rFonts w:ascii="Tahoma" w:eastAsia="Times New Roman" w:hAnsi="Tahoma" w:cs="Tahoma"/>
                <w:color w:val="000000"/>
                <w:sz w:val="16"/>
                <w:szCs w:val="16"/>
                <w:lang w:eastAsia="en-AU"/>
              </w:rPr>
            </w:pPr>
            <w:r w:rsidRPr="00E32DB2">
              <w:rPr>
                <w:rFonts w:ascii="Tahoma" w:eastAsia="Times New Roman" w:hAnsi="Tahoma" w:cs="Tahoma"/>
                <w:color w:val="000000"/>
                <w:sz w:val="16"/>
                <w:szCs w:val="16"/>
                <w:lang w:eastAsia="en-AU"/>
              </w:rPr>
              <w:t>85.5%</w:t>
            </w:r>
          </w:p>
        </w:tc>
      </w:tr>
      <w:tr w:rsidR="00E32DB2" w:rsidRPr="001F34F5" w14:paraId="77736EA6" w14:textId="77777777" w:rsidTr="00CE57DC">
        <w:trPr>
          <w:trHeight w:val="210"/>
        </w:trPr>
        <w:tc>
          <w:tcPr>
            <w:tcW w:w="4111" w:type="dxa"/>
            <w:gridSpan w:val="2"/>
            <w:tcBorders>
              <w:top w:val="nil"/>
              <w:left w:val="nil"/>
              <w:bottom w:val="nil"/>
              <w:right w:val="nil"/>
            </w:tcBorders>
            <w:shd w:val="clear" w:color="auto" w:fill="auto"/>
            <w:noWrap/>
            <w:vAlign w:val="bottom"/>
          </w:tcPr>
          <w:p w14:paraId="1CF9CFA0"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c>
          <w:tcPr>
            <w:tcW w:w="993" w:type="dxa"/>
            <w:tcBorders>
              <w:top w:val="nil"/>
              <w:left w:val="nil"/>
              <w:bottom w:val="nil"/>
              <w:right w:val="nil"/>
            </w:tcBorders>
            <w:shd w:val="clear" w:color="auto" w:fill="auto"/>
            <w:noWrap/>
            <w:vAlign w:val="bottom"/>
          </w:tcPr>
          <w:p w14:paraId="369EFD60"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c>
          <w:tcPr>
            <w:tcW w:w="1025" w:type="dxa"/>
            <w:tcBorders>
              <w:top w:val="nil"/>
              <w:left w:val="nil"/>
              <w:bottom w:val="nil"/>
              <w:right w:val="nil"/>
            </w:tcBorders>
            <w:shd w:val="clear" w:color="auto" w:fill="auto"/>
            <w:noWrap/>
            <w:vAlign w:val="bottom"/>
          </w:tcPr>
          <w:p w14:paraId="0C6B13F6"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c>
          <w:tcPr>
            <w:tcW w:w="1526" w:type="dxa"/>
            <w:tcBorders>
              <w:top w:val="nil"/>
              <w:left w:val="nil"/>
              <w:bottom w:val="nil"/>
              <w:right w:val="nil"/>
            </w:tcBorders>
            <w:shd w:val="clear" w:color="auto" w:fill="auto"/>
            <w:noWrap/>
            <w:vAlign w:val="bottom"/>
          </w:tcPr>
          <w:p w14:paraId="02E96DCE"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c>
          <w:tcPr>
            <w:tcW w:w="1276" w:type="dxa"/>
            <w:tcBorders>
              <w:top w:val="nil"/>
              <w:left w:val="nil"/>
              <w:bottom w:val="nil"/>
              <w:right w:val="nil"/>
            </w:tcBorders>
            <w:shd w:val="clear" w:color="auto" w:fill="auto"/>
            <w:noWrap/>
            <w:vAlign w:val="bottom"/>
          </w:tcPr>
          <w:p w14:paraId="50263C78"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c>
          <w:tcPr>
            <w:tcW w:w="1417" w:type="dxa"/>
            <w:tcBorders>
              <w:top w:val="nil"/>
              <w:left w:val="nil"/>
              <w:bottom w:val="nil"/>
              <w:right w:val="nil"/>
            </w:tcBorders>
            <w:shd w:val="clear" w:color="auto" w:fill="auto"/>
            <w:noWrap/>
            <w:vAlign w:val="bottom"/>
          </w:tcPr>
          <w:p w14:paraId="65EAB01E" w14:textId="77777777" w:rsidR="00E32DB2" w:rsidRPr="001F34F5" w:rsidRDefault="00E32DB2" w:rsidP="00681900">
            <w:pPr>
              <w:spacing w:after="0" w:line="240" w:lineRule="auto"/>
              <w:rPr>
                <w:rFonts w:ascii="Gill Sans MT" w:eastAsia="Times New Roman" w:hAnsi="Gill Sans MT" w:cs="Tahoma"/>
                <w:color w:val="000000"/>
                <w:sz w:val="16"/>
                <w:szCs w:val="16"/>
                <w:lang w:eastAsia="en-AU"/>
              </w:rPr>
            </w:pPr>
          </w:p>
        </w:tc>
      </w:tr>
    </w:tbl>
    <w:p w14:paraId="2268CAE5"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Sources: Australian Bureau of Statistics (2012, 2013), Department of Economic Development, Tourism and the Arts (2013), </w:t>
      </w:r>
      <w:r w:rsidR="00E8025B">
        <w:rPr>
          <w:rFonts w:ascii="Gill Sans MT" w:eastAsia="Times New Roman" w:hAnsi="Gill Sans MT" w:cs="Tahoma"/>
          <w:sz w:val="16"/>
          <w:szCs w:val="16"/>
          <w:lang w:eastAsia="en-AU"/>
        </w:rPr>
        <w:t>Department of State Growth (2014)</w:t>
      </w:r>
      <w:r w:rsidR="00A436BC">
        <w:rPr>
          <w:rFonts w:ascii="Gill Sans MT" w:eastAsia="Times New Roman" w:hAnsi="Gill Sans MT" w:cs="Tahoma"/>
          <w:sz w:val="16"/>
          <w:szCs w:val="16"/>
          <w:lang w:eastAsia="en-AU"/>
        </w:rPr>
        <w:t xml:space="preserve">, </w:t>
      </w:r>
      <w:r w:rsidRPr="001F34F5">
        <w:rPr>
          <w:rFonts w:ascii="Gill Sans MT" w:eastAsia="Times New Roman" w:hAnsi="Gill Sans MT" w:cs="Tahoma"/>
          <w:sz w:val="16"/>
          <w:szCs w:val="16"/>
          <w:lang w:eastAsia="en-AU"/>
        </w:rPr>
        <w:t>AEC</w:t>
      </w:r>
      <w:r w:rsidR="00A436BC">
        <w:rPr>
          <w:rFonts w:ascii="Gill Sans MT" w:eastAsia="Times New Roman" w:hAnsi="Gill Sans MT" w:cs="Tahoma"/>
          <w:sz w:val="16"/>
          <w:szCs w:val="16"/>
          <w:lang w:eastAsia="en-AU"/>
        </w:rPr>
        <w:t xml:space="preserve"> G</w:t>
      </w:r>
      <w:r w:rsidRPr="001F34F5">
        <w:rPr>
          <w:rFonts w:ascii="Gill Sans MT" w:eastAsia="Times New Roman" w:hAnsi="Gill Sans MT" w:cs="Tahoma"/>
          <w:sz w:val="16"/>
          <w:szCs w:val="16"/>
          <w:lang w:eastAsia="en-AU"/>
        </w:rPr>
        <w:t>roup</w:t>
      </w:r>
    </w:p>
    <w:p w14:paraId="293C7EF2"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(a) Source AEC</w:t>
      </w:r>
      <w:r w:rsidR="00A436BC">
        <w:rPr>
          <w:rFonts w:ascii="Gill Sans MT" w:eastAsia="Times New Roman" w:hAnsi="Gill Sans MT" w:cs="Tahoma"/>
          <w:sz w:val="16"/>
          <w:szCs w:val="16"/>
          <w:lang w:eastAsia="en-AU"/>
        </w:rPr>
        <w:t xml:space="preserve"> G</w:t>
      </w:r>
      <w:r w:rsidRPr="001F34F5">
        <w:rPr>
          <w:rFonts w:ascii="Gill Sans MT" w:eastAsia="Times New Roman" w:hAnsi="Gill Sans MT" w:cs="Tahoma"/>
          <w:sz w:val="16"/>
          <w:szCs w:val="16"/>
          <w:lang w:eastAsia="en-AU"/>
        </w:rPr>
        <w:t xml:space="preserve">roup. Industry value add (IVA) is a component of the ABS estimate of Gross State Product and measures the total value of goods and services produced by the sector, less the value of inputs.  Estimated change in IVA from five years ago for a sector is heavily influenced by change at the highest "ANZSIC Division 1" level of industry aggregation and is not reported.   </w:t>
      </w:r>
    </w:p>
    <w:p w14:paraId="10DED5E5"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(b) </w:t>
      </w:r>
      <w:r w:rsidRPr="001F34F5">
        <w:rPr>
          <w:rFonts w:ascii="Gill Sans MT" w:eastAsia="Times New Roman" w:hAnsi="Gill Sans MT" w:cs="Tahoma"/>
          <w:i/>
          <w:sz w:val="16"/>
          <w:szCs w:val="16"/>
          <w:lang w:eastAsia="en-AU"/>
        </w:rPr>
        <w:t>2011 ABS Census</w:t>
      </w:r>
      <w:r w:rsidR="001F34F5">
        <w:rPr>
          <w:rFonts w:ascii="Gill Sans MT" w:eastAsia="Times New Roman" w:hAnsi="Gill Sans MT" w:cs="Tahoma"/>
          <w:sz w:val="16"/>
          <w:szCs w:val="16"/>
          <w:lang w:eastAsia="en-AU"/>
        </w:rPr>
        <w:t xml:space="preserve">. </w:t>
      </w:r>
      <w:r w:rsidRPr="001F34F5">
        <w:rPr>
          <w:rFonts w:ascii="Gill Sans MT" w:eastAsia="Times New Roman" w:hAnsi="Gill Sans MT" w:cs="Tahoma"/>
          <w:sz w:val="16"/>
          <w:szCs w:val="16"/>
          <w:lang w:eastAsia="en-AU"/>
        </w:rPr>
        <w:t>AEC</w:t>
      </w:r>
      <w:r w:rsidR="00A436BC">
        <w:rPr>
          <w:rFonts w:ascii="Gill Sans MT" w:eastAsia="Times New Roman" w:hAnsi="Gill Sans MT" w:cs="Tahoma"/>
          <w:sz w:val="16"/>
          <w:szCs w:val="16"/>
          <w:lang w:eastAsia="en-AU"/>
        </w:rPr>
        <w:t xml:space="preserve"> G</w:t>
      </w:r>
      <w:r w:rsidRPr="001F34F5">
        <w:rPr>
          <w:rFonts w:ascii="Gill Sans MT" w:eastAsia="Times New Roman" w:hAnsi="Gill Sans MT" w:cs="Tahoma"/>
          <w:sz w:val="16"/>
          <w:szCs w:val="16"/>
          <w:lang w:eastAsia="en-AU"/>
        </w:rPr>
        <w:t>roup considers this the most accurate estimate of employment at the detailed four-digit ANZSIC level.</w:t>
      </w:r>
    </w:p>
    <w:p w14:paraId="4FC06CB6"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(c) </w:t>
      </w:r>
      <w:r w:rsidR="00A436BC">
        <w:rPr>
          <w:rFonts w:ascii="Gill Sans MT" w:eastAsia="Times New Roman" w:hAnsi="Gill Sans MT" w:cs="Tahoma"/>
          <w:sz w:val="16"/>
          <w:szCs w:val="16"/>
          <w:lang w:eastAsia="en-AU"/>
        </w:rPr>
        <w:t>E</w:t>
      </w:r>
      <w:r w:rsidRPr="001F34F5">
        <w:rPr>
          <w:rFonts w:ascii="Gill Sans MT" w:eastAsia="Times New Roman" w:hAnsi="Gill Sans MT" w:cs="Tahoma"/>
          <w:sz w:val="16"/>
          <w:szCs w:val="16"/>
          <w:lang w:eastAsia="en-AU"/>
        </w:rPr>
        <w:t>stimates of international exports using ABS data.</w:t>
      </w:r>
    </w:p>
    <w:p w14:paraId="241756A3"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(d) </w:t>
      </w:r>
      <w:r w:rsidRPr="001F34F5">
        <w:rPr>
          <w:rFonts w:ascii="Gill Sans MT" w:eastAsia="Times New Roman" w:hAnsi="Gill Sans MT" w:cs="Tahoma"/>
          <w:i/>
          <w:sz w:val="16"/>
          <w:szCs w:val="16"/>
          <w:lang w:eastAsia="en-AU"/>
        </w:rPr>
        <w:t>2011 ABS Census</w:t>
      </w:r>
      <w:r w:rsidR="001F34F5">
        <w:rPr>
          <w:rFonts w:ascii="Gill Sans MT" w:eastAsia="Times New Roman" w:hAnsi="Gill Sans MT" w:cs="Tahoma"/>
          <w:sz w:val="16"/>
          <w:szCs w:val="16"/>
          <w:lang w:eastAsia="en-AU"/>
        </w:rPr>
        <w:t xml:space="preserve">. </w:t>
      </w:r>
      <w:r w:rsidR="009905AA" w:rsidRPr="009905AA">
        <w:rPr>
          <w:rFonts w:ascii="Gill Sans MT" w:eastAsia="Times New Roman" w:hAnsi="Gill Sans MT" w:cs="Tahoma"/>
          <w:sz w:val="16"/>
          <w:szCs w:val="16"/>
          <w:lang w:eastAsia="en-AU"/>
        </w:rPr>
        <w:t>This includes employment and non-employment related income (</w:t>
      </w:r>
      <w:r w:rsidR="00A436BC">
        <w:rPr>
          <w:rFonts w:ascii="Gill Sans MT" w:eastAsia="Times New Roman" w:hAnsi="Gill Sans MT" w:cs="Tahoma"/>
          <w:sz w:val="16"/>
          <w:szCs w:val="16"/>
          <w:lang w:eastAsia="en-AU"/>
        </w:rPr>
        <w:t>for example,</w:t>
      </w:r>
      <w:r w:rsidR="009905AA" w:rsidRPr="009905AA">
        <w:rPr>
          <w:rFonts w:ascii="Gill Sans MT" w:eastAsia="Times New Roman" w:hAnsi="Gill Sans MT" w:cs="Tahoma"/>
          <w:sz w:val="16"/>
          <w:szCs w:val="16"/>
          <w:lang w:eastAsia="en-AU"/>
        </w:rPr>
        <w:t xml:space="preserve"> rents, dividends, interest, child support and government pensions and allowances). A percentage above 100 per cent of average weekly income suggests workers in this industry earn higher than the average wage.  </w:t>
      </w:r>
    </w:p>
    <w:p w14:paraId="2E6380DC" w14:textId="77777777" w:rsidR="00CE57DC" w:rsidRPr="001F34F5" w:rsidRDefault="00CE57DC" w:rsidP="00CE57D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(e) </w:t>
      </w:r>
      <w:r w:rsidRPr="001F34F5">
        <w:rPr>
          <w:rFonts w:ascii="Gill Sans MT" w:eastAsia="Times New Roman" w:hAnsi="Gill Sans MT" w:cs="Tahoma"/>
          <w:i/>
          <w:sz w:val="16"/>
          <w:szCs w:val="16"/>
          <w:lang w:eastAsia="en-AU"/>
        </w:rPr>
        <w:t>2011 ABS Census</w:t>
      </w:r>
      <w:r w:rsidR="001F34F5">
        <w:rPr>
          <w:rFonts w:ascii="Gill Sans MT" w:eastAsia="Times New Roman" w:hAnsi="Gill Sans MT" w:cs="Tahoma"/>
          <w:sz w:val="16"/>
          <w:szCs w:val="16"/>
          <w:lang w:eastAsia="en-AU"/>
        </w:rPr>
        <w:t xml:space="preserve">. </w:t>
      </w:r>
      <w:r w:rsidRPr="001F34F5">
        <w:rPr>
          <w:rFonts w:ascii="Gill Sans MT" w:eastAsia="Times New Roman" w:hAnsi="Gill Sans MT" w:cs="Tahoma"/>
          <w:sz w:val="16"/>
          <w:szCs w:val="16"/>
          <w:lang w:eastAsia="en-AU"/>
        </w:rPr>
        <w:t xml:space="preserve">Education measured by the number of employees who have completed Year 12 (or equivalent studies). Per cent of Tasmania/Australia shows the proportion of workers in this sector who have attained this level of education. </w:t>
      </w:r>
    </w:p>
    <w:p w14:paraId="3A534300" w14:textId="77777777" w:rsidR="00CE57DC" w:rsidRPr="001F34F5" w:rsidRDefault="00CE57DC" w:rsidP="00A436BC">
      <w:pPr>
        <w:spacing w:after="0" w:line="240" w:lineRule="auto"/>
        <w:ind w:left="-709"/>
        <w:rPr>
          <w:rFonts w:ascii="Gill Sans MT" w:eastAsia="Times New Roman" w:hAnsi="Gill Sans MT" w:cs="Tahoma"/>
          <w:sz w:val="16"/>
          <w:szCs w:val="16"/>
          <w:lang w:eastAsia="en-AU"/>
        </w:rPr>
      </w:pPr>
      <w:r w:rsidRPr="001F34F5">
        <w:rPr>
          <w:rFonts w:ascii="Gill Sans MT" w:eastAsia="Times New Roman" w:hAnsi="Gill Sans MT" w:cs="Tahoma"/>
          <w:sz w:val="16"/>
          <w:szCs w:val="16"/>
          <w:lang w:eastAsia="en-AU"/>
        </w:rPr>
        <w:t xml:space="preserve">(f) </w:t>
      </w:r>
      <w:r w:rsidRPr="001F34F5">
        <w:rPr>
          <w:rFonts w:ascii="Gill Sans MT" w:eastAsia="Times New Roman" w:hAnsi="Gill Sans MT" w:cs="Tahoma"/>
          <w:i/>
          <w:sz w:val="16"/>
          <w:szCs w:val="16"/>
          <w:lang w:eastAsia="en-AU"/>
        </w:rPr>
        <w:t>2011 ABS Census</w:t>
      </w:r>
      <w:r w:rsidR="001F34F5">
        <w:rPr>
          <w:rFonts w:ascii="Gill Sans MT" w:eastAsia="Times New Roman" w:hAnsi="Gill Sans MT" w:cs="Tahoma"/>
          <w:sz w:val="16"/>
          <w:szCs w:val="16"/>
          <w:lang w:eastAsia="en-AU"/>
        </w:rPr>
        <w:t xml:space="preserve">. </w:t>
      </w:r>
      <w:r w:rsidRPr="001F34F5">
        <w:rPr>
          <w:rFonts w:ascii="Gill Sans MT" w:eastAsia="Times New Roman" w:hAnsi="Gill Sans MT" w:cs="Tahoma"/>
          <w:sz w:val="16"/>
          <w:szCs w:val="16"/>
          <w:lang w:eastAsia="en-AU"/>
        </w:rPr>
        <w:t>Per cent of Tasmania/Australia shows the proportion of workers employed in this manner.</w:t>
      </w:r>
    </w:p>
    <w:p w14:paraId="273E30FE" w14:textId="77777777" w:rsidR="00D60D44" w:rsidRDefault="00D60D44" w:rsidP="00681900">
      <w:pPr>
        <w:pStyle w:val="Sectorbody"/>
        <w:ind w:left="-709" w:right="120"/>
        <w:sectPr w:rsidR="00D60D44" w:rsidSect="00EA47DE">
          <w:headerReference w:type="default" r:id="rId13"/>
          <w:headerReference w:type="first" r:id="rId14"/>
          <w:footerReference w:type="first" r:id="rId15"/>
          <w:pgSz w:w="11906" w:h="16838"/>
          <w:pgMar w:top="3661" w:right="707" w:bottom="709" w:left="1440" w:header="708" w:footer="708" w:gutter="0"/>
          <w:cols w:space="708"/>
          <w:docGrid w:linePitch="360"/>
        </w:sectPr>
      </w:pPr>
    </w:p>
    <w:p w14:paraId="17EA3985" w14:textId="77777777" w:rsidR="00722A14" w:rsidRDefault="00A436BC" w:rsidP="00840F9A">
      <w:pPr>
        <w:pStyle w:val="Sectorbody"/>
      </w:pPr>
      <w:r>
        <w:lastRenderedPageBreak/>
        <w:t>I</w:t>
      </w:r>
      <w:r w:rsidRPr="00984F17">
        <w:t>n recent years</w:t>
      </w:r>
      <w:r w:rsidR="007E10A6">
        <w:t>,</w:t>
      </w:r>
      <w:r w:rsidRPr="00984F17">
        <w:t xml:space="preserve"> </w:t>
      </w:r>
      <w:r w:rsidR="00F0466A" w:rsidRPr="00984F17">
        <w:t xml:space="preserve">Tasmania’s forestry sector </w:t>
      </w:r>
      <w:r w:rsidRPr="00984F17">
        <w:t xml:space="preserve">has </w:t>
      </w:r>
      <w:r w:rsidR="00F0466A">
        <w:t xml:space="preserve">faced </w:t>
      </w:r>
      <w:r w:rsidR="00F0466A" w:rsidRPr="00984F17">
        <w:t>a process of structural transformation brought about the challenges of a high Australian dollar and changes in forest product markets.</w:t>
      </w:r>
      <w:r w:rsidR="00F0466A">
        <w:t xml:space="preserve"> These challenges are ongoing</w:t>
      </w:r>
      <w:r w:rsidR="00722A14">
        <w:t xml:space="preserve"> and t</w:t>
      </w:r>
      <w:r w:rsidR="00481F4D">
        <w:t xml:space="preserve">he Tasmanian Government is committed to rebuilding the industry.  </w:t>
      </w:r>
    </w:p>
    <w:p w14:paraId="0FAD7478" w14:textId="77777777" w:rsidR="00722A14" w:rsidRDefault="00840F9A" w:rsidP="00840F9A">
      <w:pPr>
        <w:pStyle w:val="Sectorbody"/>
      </w:pPr>
      <w:r>
        <w:t xml:space="preserve">As a first step, Government is committed to implementation of the </w:t>
      </w:r>
      <w:r w:rsidRPr="00A436BC">
        <w:rPr>
          <w:i/>
        </w:rPr>
        <w:t>Forestry (Rebuilding the Forest Industry) Bill</w:t>
      </w:r>
      <w:r>
        <w:t xml:space="preserve"> to dismantle the Tasmanian Forests Agreement. </w:t>
      </w:r>
      <w:r w:rsidR="009230EF">
        <w:t xml:space="preserve">This will </w:t>
      </w:r>
      <w:r>
        <w:t xml:space="preserve">end uncertainty in the </w:t>
      </w:r>
      <w:r w:rsidR="009230EF">
        <w:t xml:space="preserve">forest </w:t>
      </w:r>
      <w:r>
        <w:t xml:space="preserve">industry and the broader community </w:t>
      </w:r>
      <w:r w:rsidR="006F67F7">
        <w:t xml:space="preserve">that </w:t>
      </w:r>
      <w:r w:rsidR="009230EF">
        <w:t>relies on our forest</w:t>
      </w:r>
      <w:r>
        <w:t xml:space="preserve"> industry.</w:t>
      </w:r>
    </w:p>
    <w:p w14:paraId="0C59C835" w14:textId="77777777" w:rsidR="002715EA" w:rsidRDefault="002715EA" w:rsidP="006F67F7">
      <w:pPr>
        <w:pStyle w:val="Sectorbody"/>
        <w:spacing w:after="120"/>
      </w:pPr>
      <w:r>
        <w:t>The Government's focus will be on:</w:t>
      </w:r>
    </w:p>
    <w:p w14:paraId="6B625DF6" w14:textId="77777777" w:rsidR="002715EA" w:rsidRDefault="002715EA" w:rsidP="008565F7">
      <w:pPr>
        <w:pStyle w:val="Sectorbody"/>
        <w:numPr>
          <w:ilvl w:val="0"/>
          <w:numId w:val="9"/>
        </w:numPr>
        <w:spacing w:before="120" w:after="120"/>
        <w:ind w:left="431" w:hanging="357"/>
      </w:pPr>
      <w:r>
        <w:t xml:space="preserve">No more </w:t>
      </w:r>
      <w:r w:rsidR="008565F7">
        <w:t>‘</w:t>
      </w:r>
      <w:r>
        <w:t>lock-ups</w:t>
      </w:r>
      <w:r w:rsidR="008565F7">
        <w:t>’</w:t>
      </w:r>
      <w:r>
        <w:t xml:space="preserve"> of Tasmania's forest resources</w:t>
      </w:r>
    </w:p>
    <w:p w14:paraId="37BB95DC" w14:textId="77777777" w:rsidR="002715EA" w:rsidRDefault="002715EA" w:rsidP="008565F7">
      <w:pPr>
        <w:pStyle w:val="Sectorbody"/>
        <w:numPr>
          <w:ilvl w:val="0"/>
          <w:numId w:val="9"/>
        </w:numPr>
        <w:spacing w:before="120" w:after="120"/>
        <w:ind w:left="431" w:hanging="357"/>
      </w:pPr>
      <w:r>
        <w:t>Encouraging and supporting investment in innovation and new uses for our timber</w:t>
      </w:r>
    </w:p>
    <w:p w14:paraId="3270FD8D" w14:textId="77777777" w:rsidR="002715EA" w:rsidRDefault="002715EA" w:rsidP="008565F7">
      <w:pPr>
        <w:pStyle w:val="Sectorbody"/>
        <w:numPr>
          <w:ilvl w:val="0"/>
          <w:numId w:val="9"/>
        </w:numPr>
        <w:spacing w:before="120" w:after="120"/>
        <w:ind w:left="431" w:hanging="357"/>
      </w:pPr>
      <w:r>
        <w:t>Capturing new export markets whilst creating stronger on-island uses for our wood, such as engineered timbers, biofuels and bioenergy</w:t>
      </w:r>
    </w:p>
    <w:p w14:paraId="33BBE1E4" w14:textId="77777777" w:rsidR="002715EA" w:rsidRDefault="002715EA" w:rsidP="008565F7">
      <w:pPr>
        <w:pStyle w:val="Sectorbody"/>
        <w:numPr>
          <w:ilvl w:val="0"/>
          <w:numId w:val="9"/>
        </w:numPr>
        <w:spacing w:before="120" w:after="120"/>
        <w:ind w:left="431" w:hanging="357"/>
      </w:pPr>
      <w:r>
        <w:t>Securing resources for our sawmills, veneer mills and specialty timber industries</w:t>
      </w:r>
    </w:p>
    <w:p w14:paraId="49D5AF3C" w14:textId="77777777" w:rsidR="002715EA" w:rsidRDefault="002715EA" w:rsidP="008565F7">
      <w:pPr>
        <w:pStyle w:val="Sectorbody"/>
        <w:numPr>
          <w:ilvl w:val="0"/>
          <w:numId w:val="9"/>
        </w:numPr>
        <w:spacing w:before="120" w:after="120"/>
        <w:ind w:left="431" w:hanging="357"/>
      </w:pPr>
      <w:r>
        <w:t>Supporting Forest Stewardship Council Certification.</w:t>
      </w:r>
    </w:p>
    <w:p w14:paraId="25B06E9C" w14:textId="77777777" w:rsidR="00F0466A" w:rsidRPr="00D7797C" w:rsidRDefault="00F0466A" w:rsidP="00681900">
      <w:pPr>
        <w:pStyle w:val="Sectorbody"/>
      </w:pPr>
      <w:r w:rsidRPr="00D7797C">
        <w:t xml:space="preserve">The Tasmanian forestry sector is an integrated industry that encompasses native forest and plantation resource (softwood and hardwood), </w:t>
      </w:r>
      <w:r w:rsidR="00E8025B">
        <w:t xml:space="preserve">and </w:t>
      </w:r>
      <w:r w:rsidRPr="00D7797C">
        <w:t xml:space="preserve">the production of logs, woodchips, hardwood and softwood sawn timber, pulp and paper, veneer, fuel wood and other wood products. </w:t>
      </w:r>
    </w:p>
    <w:p w14:paraId="7C901A07" w14:textId="77777777" w:rsidR="00F0466A" w:rsidRPr="00D7797C" w:rsidRDefault="00F0466A" w:rsidP="00681900">
      <w:pPr>
        <w:pStyle w:val="Sectorbody"/>
      </w:pPr>
      <w:r w:rsidRPr="00D7797C">
        <w:t>Tasmanian forest</w:t>
      </w:r>
      <w:r w:rsidR="00681900">
        <w:t>-</w:t>
      </w:r>
      <w:r w:rsidRPr="00D7797C">
        <w:t xml:space="preserve">based industries continue to </w:t>
      </w:r>
      <w:r w:rsidR="006F67F7">
        <w:t>contribute</w:t>
      </w:r>
      <w:r w:rsidRPr="00D7797C">
        <w:t xml:space="preserve"> to the Tasmanian economy</w:t>
      </w:r>
      <w:r w:rsidR="00681900">
        <w:t>,</w:t>
      </w:r>
      <w:r w:rsidRPr="00D7797C">
        <w:t xml:space="preserve"> with forestry operations and related processing accounting for 2.</w:t>
      </w:r>
      <w:r w:rsidR="00CB215C">
        <w:t>4</w:t>
      </w:r>
      <w:r w:rsidRPr="00D7797C">
        <w:t xml:space="preserve"> per cent of </w:t>
      </w:r>
      <w:r w:rsidR="00681900">
        <w:t>i</w:t>
      </w:r>
      <w:r w:rsidRPr="00D7797C">
        <w:t xml:space="preserve">ndustry </w:t>
      </w:r>
      <w:r w:rsidR="00681900">
        <w:t>v</w:t>
      </w:r>
      <w:r w:rsidRPr="00D7797C">
        <w:t xml:space="preserve">alue </w:t>
      </w:r>
      <w:r w:rsidR="00681900">
        <w:t>a</w:t>
      </w:r>
      <w:r w:rsidRPr="00D7797C">
        <w:t>dd</w:t>
      </w:r>
      <w:r w:rsidR="00772004">
        <w:t>. The industry</w:t>
      </w:r>
      <w:r w:rsidR="00D17F30">
        <w:t xml:space="preserve"> </w:t>
      </w:r>
      <w:r w:rsidR="00772004">
        <w:t>is</w:t>
      </w:r>
      <w:r w:rsidR="00D17F30">
        <w:t xml:space="preserve"> a</w:t>
      </w:r>
      <w:r w:rsidR="008565F7">
        <w:t xml:space="preserve"> </w:t>
      </w:r>
      <w:r w:rsidR="00D17F30">
        <w:t xml:space="preserve">contributor to employment </w:t>
      </w:r>
      <w:r w:rsidR="00772004">
        <w:t xml:space="preserve">in </w:t>
      </w:r>
      <w:r w:rsidR="00D17F30">
        <w:t>regional communities, and a source of international export revenue</w:t>
      </w:r>
      <w:r w:rsidRPr="00D7797C">
        <w:t xml:space="preserve">. </w:t>
      </w:r>
    </w:p>
    <w:p w14:paraId="3F438A0F" w14:textId="77777777" w:rsidR="00F0466A" w:rsidRPr="00D7797C" w:rsidRDefault="00F0466A" w:rsidP="00681900">
      <w:pPr>
        <w:pStyle w:val="Sectorbody"/>
      </w:pPr>
      <w:r w:rsidRPr="00D7797C">
        <w:t>The sector operates under well-established environmental standards and native forest resource is only harvested outside of the extensive reserves systems, designed to maintain environmental values. The managed production forests yield some of the strongest commercially</w:t>
      </w:r>
      <w:r w:rsidR="00E8025B">
        <w:t>-</w:t>
      </w:r>
      <w:r w:rsidRPr="00D7797C">
        <w:t xml:space="preserve">usable timbers available. </w:t>
      </w:r>
      <w:r>
        <w:t>The</w:t>
      </w:r>
      <w:r w:rsidRPr="00D7797C">
        <w:t xml:space="preserve"> sustaina</w:t>
      </w:r>
      <w:r w:rsidR="001F34F5">
        <w:t>ble forest sector produces high-</w:t>
      </w:r>
      <w:r w:rsidRPr="00D7797C">
        <w:t>quality hardwood products</w:t>
      </w:r>
      <w:r w:rsidR="00681900">
        <w:t>,</w:t>
      </w:r>
      <w:r w:rsidRPr="00D7797C">
        <w:t xml:space="preserve"> including timbers held in high regard by architects, craftspeople and artists.</w:t>
      </w:r>
    </w:p>
    <w:p w14:paraId="1D1443AF" w14:textId="77777777" w:rsidR="00F0466A" w:rsidRPr="00D7797C" w:rsidRDefault="00F0466A" w:rsidP="00681900">
      <w:pPr>
        <w:pStyle w:val="Sectorbody"/>
      </w:pPr>
      <w:r w:rsidRPr="00D7797C">
        <w:t>Harvesting from Tasmanian’s extensive plantation estate will significantly increase over the next decade as hardwood eucalypt plantations mature</w:t>
      </w:r>
      <w:r w:rsidR="00681900">
        <w:t>.</w:t>
      </w:r>
      <w:r w:rsidRPr="00D7797C">
        <w:t xml:space="preserve"> </w:t>
      </w:r>
      <w:r w:rsidR="00681900">
        <w:t>T</w:t>
      </w:r>
      <w:r w:rsidRPr="00D7797C">
        <w:t xml:space="preserve">his has the potential to provide increased opportunities for processing eucalypt logs grown in plantations as opposed to native forest. </w:t>
      </w:r>
    </w:p>
    <w:p w14:paraId="2D754912" w14:textId="77777777" w:rsidR="00F0466A" w:rsidRPr="00D7797C" w:rsidRDefault="00F0466A" w:rsidP="00681900">
      <w:pPr>
        <w:pStyle w:val="Sectorbody"/>
      </w:pPr>
      <w:r w:rsidRPr="00D7797C">
        <w:t>Whil</w:t>
      </w:r>
      <w:r w:rsidR="00681900">
        <w:t>e</w:t>
      </w:r>
      <w:r w:rsidRPr="00D7797C">
        <w:t xml:space="preserve"> the hardwood plantation resource does present potential opportunities for sawmilling and value</w:t>
      </w:r>
      <w:r w:rsidR="00681900">
        <w:t>-</w:t>
      </w:r>
      <w:r w:rsidRPr="00D7797C">
        <w:t>added processing</w:t>
      </w:r>
      <w:r w:rsidR="00681900">
        <w:t>,</w:t>
      </w:r>
      <w:r w:rsidRPr="00D7797C">
        <w:t xml:space="preserve"> and is preferable to </w:t>
      </w:r>
      <w:r w:rsidR="00681900">
        <w:t xml:space="preserve">using </w:t>
      </w:r>
      <w:r w:rsidRPr="00D7797C">
        <w:t xml:space="preserve">native forests </w:t>
      </w:r>
      <w:r w:rsidR="00681900">
        <w:t>for</w:t>
      </w:r>
      <w:r w:rsidR="00681900" w:rsidRPr="00D7797C">
        <w:t xml:space="preserve"> </w:t>
      </w:r>
      <w:r w:rsidRPr="00D7797C">
        <w:t>many in the community, utilising the plantation resource poses technological challenges in harvesting and processing as well as securing new and existing  markets for the resource. Plantations cannot produce many of the specialty products currently derived from native forests.</w:t>
      </w:r>
    </w:p>
    <w:p w14:paraId="07810FBC" w14:textId="77777777" w:rsidR="00F0466A" w:rsidRPr="00D7797C" w:rsidRDefault="00F0466A" w:rsidP="00681900">
      <w:pPr>
        <w:pStyle w:val="Sectorbody"/>
      </w:pPr>
      <w:r w:rsidRPr="00D7797C">
        <w:t>The harvesting and utilisation of native forest from private and public land will also remain important to the industry and the economy. In particular</w:t>
      </w:r>
      <w:r w:rsidR="00681900">
        <w:t>,</w:t>
      </w:r>
      <w:r w:rsidRPr="00D7797C">
        <w:t xml:space="preserve"> Tasmania’s sawmilling industry and speciality timber processors are reliant on a sustainable and reliable supply of native forest timber. </w:t>
      </w:r>
    </w:p>
    <w:p w14:paraId="7D454AC0" w14:textId="77777777" w:rsidR="00F0466A" w:rsidRPr="00F9547A" w:rsidRDefault="00F0466A" w:rsidP="00A436BC">
      <w:pPr>
        <w:tabs>
          <w:tab w:val="left" w:pos="10490"/>
        </w:tabs>
        <w:spacing w:before="240"/>
        <w:ind w:left="-284"/>
      </w:pPr>
      <w:r w:rsidRPr="00F9547A">
        <w:rPr>
          <w:rFonts w:ascii="Gill Sans MT" w:hAnsi="Gill Sans MT"/>
        </w:rPr>
        <w:t xml:space="preserve">The government supports the ongoing efforts of Forestry Tasmania to increase the productivity of </w:t>
      </w:r>
      <w:r w:rsidR="00681900" w:rsidRPr="00F9547A">
        <w:rPr>
          <w:rFonts w:ascii="Gill Sans MT" w:hAnsi="Gill Sans MT"/>
        </w:rPr>
        <w:t>s</w:t>
      </w:r>
      <w:r w:rsidRPr="00F9547A">
        <w:rPr>
          <w:rFonts w:ascii="Gill Sans MT" w:hAnsi="Gill Sans MT"/>
        </w:rPr>
        <w:t>tate forests through improved sustainable management practices, and Forestry Tasmania is working towards F</w:t>
      </w:r>
      <w:r w:rsidR="00681900" w:rsidRPr="00F9547A">
        <w:rPr>
          <w:rFonts w:ascii="Gill Sans MT" w:hAnsi="Gill Sans MT"/>
        </w:rPr>
        <w:t xml:space="preserve">orest </w:t>
      </w:r>
      <w:r w:rsidRPr="00F9547A">
        <w:rPr>
          <w:rFonts w:ascii="Gill Sans MT" w:hAnsi="Gill Sans MT"/>
        </w:rPr>
        <w:lastRenderedPageBreak/>
        <w:t>S</w:t>
      </w:r>
      <w:r w:rsidR="00681900" w:rsidRPr="00F9547A">
        <w:rPr>
          <w:rFonts w:ascii="Gill Sans MT" w:hAnsi="Gill Sans MT"/>
        </w:rPr>
        <w:t xml:space="preserve">tewardship </w:t>
      </w:r>
      <w:r w:rsidRPr="00F9547A">
        <w:rPr>
          <w:rFonts w:ascii="Gill Sans MT" w:hAnsi="Gill Sans MT"/>
        </w:rPr>
        <w:t>C</w:t>
      </w:r>
      <w:r w:rsidR="00681900" w:rsidRPr="00F9547A">
        <w:rPr>
          <w:rFonts w:ascii="Gill Sans MT" w:hAnsi="Gill Sans MT"/>
        </w:rPr>
        <w:t>ouncil</w:t>
      </w:r>
      <w:r w:rsidRPr="00F9547A">
        <w:rPr>
          <w:rFonts w:ascii="Gill Sans MT" w:hAnsi="Gill Sans MT"/>
        </w:rPr>
        <w:t xml:space="preserve"> </w:t>
      </w:r>
      <w:r w:rsidR="00817AF8" w:rsidRPr="00F9547A">
        <w:rPr>
          <w:rFonts w:ascii="Gill Sans MT" w:hAnsi="Gill Sans MT"/>
        </w:rPr>
        <w:t>c</w:t>
      </w:r>
      <w:r w:rsidRPr="00F9547A">
        <w:rPr>
          <w:rFonts w:ascii="Gill Sans MT" w:hAnsi="Gill Sans MT"/>
        </w:rPr>
        <w:t>ertification, which is recognised as a critical step for access to future markets for Tasmania’s forest products.</w:t>
      </w:r>
    </w:p>
    <w:p w14:paraId="6651B570" w14:textId="77777777" w:rsidR="00F9547A" w:rsidRPr="00A436BC" w:rsidRDefault="00F0466A" w:rsidP="00A436BC">
      <w:pPr>
        <w:tabs>
          <w:tab w:val="left" w:pos="10490"/>
        </w:tabs>
        <w:spacing w:before="240"/>
        <w:ind w:left="-284"/>
        <w:rPr>
          <w:rFonts w:ascii="Gill Sans MT" w:hAnsi="Gill Sans MT"/>
        </w:rPr>
      </w:pPr>
      <w:r w:rsidRPr="00A436BC">
        <w:rPr>
          <w:rFonts w:ascii="Gill Sans MT" w:hAnsi="Gill Sans MT"/>
        </w:rPr>
        <w:t>The government also recognises the importance of Tasmania’s pulp and paper manufacturing industry and supports the development of downstream value</w:t>
      </w:r>
      <w:r w:rsidR="006F67F7">
        <w:rPr>
          <w:rFonts w:ascii="Gill Sans MT" w:hAnsi="Gill Sans MT"/>
        </w:rPr>
        <w:t>-</w:t>
      </w:r>
      <w:r w:rsidRPr="00A436BC">
        <w:rPr>
          <w:rFonts w:ascii="Gill Sans MT" w:hAnsi="Gill Sans MT"/>
        </w:rPr>
        <w:t>adding through the establishment of a pulp mill in the Tamar Valley that meets world</w:t>
      </w:r>
      <w:r w:rsidR="00817AF8" w:rsidRPr="00A436BC">
        <w:rPr>
          <w:rFonts w:ascii="Gill Sans MT" w:hAnsi="Gill Sans MT"/>
        </w:rPr>
        <w:t xml:space="preserve">’s </w:t>
      </w:r>
      <w:r w:rsidRPr="00A436BC">
        <w:rPr>
          <w:rFonts w:ascii="Gill Sans MT" w:hAnsi="Gill Sans MT"/>
        </w:rPr>
        <w:t>best practice environmental standards. The government recognises the economic benefits that this project would bring to Tasmania.</w:t>
      </w:r>
    </w:p>
    <w:p w14:paraId="67AA761B" w14:textId="77777777" w:rsidR="00F0466A" w:rsidRPr="00D7797C" w:rsidRDefault="00F0466A" w:rsidP="008565F7">
      <w:pPr>
        <w:tabs>
          <w:tab w:val="left" w:pos="10490"/>
        </w:tabs>
        <w:spacing w:before="240"/>
        <w:ind w:left="-284"/>
        <w:rPr>
          <w:rFonts w:ascii="Gill Sans MT" w:hAnsi="Gill Sans MT"/>
        </w:rPr>
      </w:pPr>
      <w:r w:rsidRPr="00D7797C">
        <w:rPr>
          <w:rFonts w:ascii="Gill Sans MT" w:hAnsi="Gill Sans MT"/>
        </w:rPr>
        <w:t xml:space="preserve">The Tasmanian forest industry </w:t>
      </w:r>
      <w:r w:rsidR="006F67F7">
        <w:rPr>
          <w:rFonts w:ascii="Gill Sans MT" w:hAnsi="Gill Sans MT"/>
        </w:rPr>
        <w:t>has</w:t>
      </w:r>
      <w:r w:rsidRPr="00D7797C">
        <w:rPr>
          <w:rFonts w:ascii="Gill Sans MT" w:hAnsi="Gill Sans MT"/>
        </w:rPr>
        <w:t xml:space="preserve"> a range of opportunities for development</w:t>
      </w:r>
      <w:r w:rsidR="00817AF8">
        <w:rPr>
          <w:rFonts w:ascii="Gill Sans MT" w:hAnsi="Gill Sans MT"/>
        </w:rPr>
        <w:t>,</w:t>
      </w:r>
      <w:r w:rsidRPr="00D7797C">
        <w:rPr>
          <w:rFonts w:ascii="Gill Sans MT" w:hAnsi="Gill Sans MT"/>
        </w:rPr>
        <w:t xml:space="preserve"> including a structurally</w:t>
      </w:r>
      <w:r w:rsidR="00E8025B">
        <w:rPr>
          <w:rFonts w:ascii="Gill Sans MT" w:hAnsi="Gill Sans MT"/>
        </w:rPr>
        <w:t>-</w:t>
      </w:r>
      <w:r w:rsidRPr="00D7797C">
        <w:rPr>
          <w:rFonts w:ascii="Gill Sans MT" w:hAnsi="Gill Sans MT"/>
        </w:rPr>
        <w:t>different hardwood sawmilling industry comprised of few</w:t>
      </w:r>
      <w:r>
        <w:rPr>
          <w:rFonts w:ascii="Gill Sans MT" w:hAnsi="Gill Sans MT"/>
        </w:rPr>
        <w:t>er</w:t>
      </w:r>
      <w:r w:rsidRPr="00D7797C">
        <w:rPr>
          <w:rFonts w:ascii="Gill Sans MT" w:hAnsi="Gill Sans MT"/>
        </w:rPr>
        <w:t xml:space="preserve"> mills</w:t>
      </w:r>
      <w:r>
        <w:rPr>
          <w:rFonts w:ascii="Gill Sans MT" w:hAnsi="Gill Sans MT"/>
        </w:rPr>
        <w:t xml:space="preserve"> of </w:t>
      </w:r>
      <w:r w:rsidRPr="00D7797C">
        <w:rPr>
          <w:rFonts w:ascii="Gill Sans MT" w:hAnsi="Gill Sans MT"/>
        </w:rPr>
        <w:t>larger</w:t>
      </w:r>
      <w:r>
        <w:rPr>
          <w:rFonts w:ascii="Gill Sans MT" w:hAnsi="Gill Sans MT"/>
        </w:rPr>
        <w:t xml:space="preserve"> scale, and a </w:t>
      </w:r>
      <w:r w:rsidRPr="00AA1804">
        <w:rPr>
          <w:rFonts w:ascii="Gill Sans MT" w:hAnsi="Gill Sans MT"/>
        </w:rPr>
        <w:t xml:space="preserve">change in </w:t>
      </w:r>
      <w:r>
        <w:rPr>
          <w:rFonts w:ascii="Gill Sans MT" w:hAnsi="Gill Sans MT"/>
        </w:rPr>
        <w:t>the focus towards a greater acknowledgement of the variety of value</w:t>
      </w:r>
      <w:r w:rsidR="00817AF8">
        <w:rPr>
          <w:rFonts w:ascii="Gill Sans MT" w:hAnsi="Gill Sans MT"/>
        </w:rPr>
        <w:t>-</w:t>
      </w:r>
      <w:r>
        <w:rPr>
          <w:rFonts w:ascii="Gill Sans MT" w:hAnsi="Gill Sans MT"/>
        </w:rPr>
        <w:t>added products requiring wood and wood fibre as a feedstock. Longer</w:t>
      </w:r>
      <w:r w:rsidR="00E8025B">
        <w:rPr>
          <w:rFonts w:ascii="Gill Sans MT" w:hAnsi="Gill Sans MT"/>
        </w:rPr>
        <w:t>-</w:t>
      </w:r>
      <w:r>
        <w:rPr>
          <w:rFonts w:ascii="Gill Sans MT" w:hAnsi="Gill Sans MT"/>
        </w:rPr>
        <w:t>term opportunities include engineered wood products</w:t>
      </w:r>
      <w:r w:rsidRPr="00D7797C">
        <w:rPr>
          <w:rFonts w:ascii="Gill Sans MT" w:hAnsi="Gill Sans MT"/>
        </w:rPr>
        <w:t>, and the development of a bio</w:t>
      </w:r>
      <w:r>
        <w:rPr>
          <w:rFonts w:ascii="Gill Sans MT" w:hAnsi="Gill Sans MT"/>
        </w:rPr>
        <w:t>mass</w:t>
      </w:r>
      <w:r w:rsidRPr="00D7797C">
        <w:rPr>
          <w:rFonts w:ascii="Gill Sans MT" w:hAnsi="Gill Sans MT"/>
        </w:rPr>
        <w:t xml:space="preserve"> and bioenergy sector.</w:t>
      </w:r>
    </w:p>
    <w:p w14:paraId="1181E3A5" w14:textId="77777777" w:rsidR="00417CC9" w:rsidRDefault="00F0466A" w:rsidP="00417CC9">
      <w:pPr>
        <w:tabs>
          <w:tab w:val="left" w:pos="10490"/>
        </w:tabs>
        <w:spacing w:before="240" w:after="0"/>
        <w:ind w:left="-284"/>
      </w:pPr>
      <w:r w:rsidRPr="00D7797C">
        <w:rPr>
          <w:rFonts w:ascii="Gill Sans MT" w:hAnsi="Gill Sans MT"/>
        </w:rPr>
        <w:t>Globally, the development and implementation of carbon reduction policies will present opportunities for the forest industry</w:t>
      </w:r>
      <w:r w:rsidR="00817AF8">
        <w:rPr>
          <w:rFonts w:ascii="Gill Sans MT" w:hAnsi="Gill Sans MT"/>
        </w:rPr>
        <w:t>,</w:t>
      </w:r>
      <w:r w:rsidRPr="00D7797C">
        <w:rPr>
          <w:rFonts w:ascii="Gill Sans MT" w:hAnsi="Gill Sans MT"/>
        </w:rPr>
        <w:t xml:space="preserve"> as there should be an increased demand for wood products to replace more emission intensive products such as steel, concrete and aluminium</w:t>
      </w:r>
      <w:r w:rsidR="00817AF8">
        <w:rPr>
          <w:rFonts w:ascii="Gill Sans MT" w:hAnsi="Gill Sans MT"/>
        </w:rPr>
        <w:t>,</w:t>
      </w:r>
      <w:r w:rsidRPr="00D7797C">
        <w:rPr>
          <w:rFonts w:ascii="Gill Sans MT" w:hAnsi="Gill Sans MT"/>
        </w:rPr>
        <w:t xml:space="preserve"> and increased opportunities for bioenergy and biofuels. There may also be opportunities for carbon sequestration in terms of reserving existing production forests and through planting ad</w:t>
      </w:r>
      <w:r>
        <w:rPr>
          <w:rFonts w:ascii="Gill Sans MT" w:hAnsi="Gill Sans MT"/>
        </w:rPr>
        <w:t>ditional trees on private land</w:t>
      </w:r>
      <w:r>
        <w:t>.</w:t>
      </w:r>
    </w:p>
    <w:p w14:paraId="3F06F1C1" w14:textId="77777777" w:rsidR="0079461E" w:rsidRDefault="0079461E" w:rsidP="00681900">
      <w:pPr>
        <w:tabs>
          <w:tab w:val="left" w:pos="10490"/>
        </w:tabs>
        <w:spacing w:after="0"/>
        <w:ind w:left="-284"/>
      </w:pPr>
    </w:p>
    <w:p w14:paraId="08755787" w14:textId="77777777" w:rsidR="0079461E" w:rsidRPr="00F0466A" w:rsidRDefault="0079461E" w:rsidP="00681900">
      <w:pPr>
        <w:tabs>
          <w:tab w:val="left" w:pos="10490"/>
        </w:tabs>
        <w:ind w:left="-284"/>
        <w:rPr>
          <w:rFonts w:ascii="Gill Sans MT" w:hAnsi="Gill Sans MT"/>
        </w:rPr>
      </w:pPr>
      <w:r>
        <w:rPr>
          <w:noProof/>
          <w:lang w:eastAsia="en-AU"/>
        </w:rPr>
        <mc:AlternateContent>
          <mc:Choice Requires="wpg">
            <w:drawing>
              <wp:anchor distT="0" distB="0" distL="114300" distR="114300" simplePos="0" relativeHeight="251659264" behindDoc="0" locked="0" layoutInCell="1" allowOverlap="1" wp14:anchorId="450C40A1" wp14:editId="02183F47">
                <wp:simplePos x="0" y="0"/>
                <wp:positionH relativeFrom="column">
                  <wp:posOffset>-305420</wp:posOffset>
                </wp:positionH>
                <wp:positionV relativeFrom="paragraph">
                  <wp:posOffset>-27541</wp:posOffset>
                </wp:positionV>
                <wp:extent cx="6677246" cy="276446"/>
                <wp:effectExtent l="0" t="0" r="9525" b="0"/>
                <wp:wrapNone/>
                <wp:docPr id="2" name="Group 2"/>
                <wp:cNvGraphicFramePr/>
                <a:graphic xmlns:a="http://schemas.openxmlformats.org/drawingml/2006/main">
                  <a:graphicData uri="http://schemas.microsoft.com/office/word/2010/wordprocessingGroup">
                    <wpg:wgp>
                      <wpg:cNvGrpSpPr/>
                      <wpg:grpSpPr>
                        <a:xfrm>
                          <a:off x="0" y="0"/>
                          <a:ext cx="6677246" cy="276446"/>
                          <a:chOff x="-7799" y="0"/>
                          <a:chExt cx="6551722" cy="278296"/>
                        </a:xfrm>
                      </wpg:grpSpPr>
                      <wps:wsp>
                        <wps:cNvPr id="3" name="Rectangle 3"/>
                        <wps:cNvSpPr/>
                        <wps:spPr>
                          <a:xfrm>
                            <a:off x="0" y="23854"/>
                            <a:ext cx="6543923" cy="198783"/>
                          </a:xfrm>
                          <a:prstGeom prst="rect">
                            <a:avLst/>
                          </a:prstGeom>
                          <a:gradFill>
                            <a:gsLst>
                              <a:gs pos="0">
                                <a:schemeClr val="bg1">
                                  <a:lumMod val="75000"/>
                                </a:schemeClr>
                              </a:gs>
                              <a:gs pos="50000">
                                <a:schemeClr val="bg1">
                                  <a:lumMod val="75000"/>
                                </a:schemeClr>
                              </a:gs>
                              <a:gs pos="100000">
                                <a:schemeClr val="bg1">
                                  <a:lumMod val="9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7799" y="0"/>
                            <a:ext cx="2552369" cy="278296"/>
                          </a:xfrm>
                          <a:prstGeom prst="rect">
                            <a:avLst/>
                          </a:prstGeom>
                          <a:noFill/>
                          <a:ln w="9525">
                            <a:noFill/>
                            <a:miter lim="800000"/>
                            <a:headEnd/>
                            <a:tailEnd/>
                          </a:ln>
                        </wps:spPr>
                        <wps:txbx>
                          <w:txbxContent>
                            <w:p w14:paraId="3525454C" w14:textId="77777777" w:rsidR="0079461E" w:rsidRPr="0058406A" w:rsidRDefault="0079461E" w:rsidP="0079461E">
                              <w:pPr>
                                <w:spacing w:after="0"/>
                                <w:rPr>
                                  <w:rFonts w:ascii="Gill Sans MT" w:hAnsi="Gill Sans MT"/>
                                  <w:b/>
                                </w:rPr>
                              </w:pPr>
                              <w:r>
                                <w:rPr>
                                  <w:rFonts w:ascii="Gill Sans MT" w:hAnsi="Gill Sans MT"/>
                                  <w:b/>
                                </w:rPr>
                                <w:t xml:space="preserve">Constraints and </w:t>
                              </w:r>
                              <w:r w:rsidR="00817AF8">
                                <w:rPr>
                                  <w:rFonts w:ascii="Gill Sans MT" w:hAnsi="Gill Sans MT"/>
                                  <w:b/>
                                </w:rPr>
                                <w:t>o</w:t>
                              </w:r>
                              <w:r>
                                <w:rPr>
                                  <w:rFonts w:ascii="Gill Sans MT" w:hAnsi="Gill Sans MT"/>
                                  <w:b/>
                                </w:rPr>
                                <w:t>pportunities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50C40A1" id="Group 2" o:spid="_x0000_s1026" style="position:absolute;left:0;text-align:left;margin-left:-24.05pt;margin-top:-2.15pt;width:525.75pt;height:21.75pt;z-index:251659264;mso-width-relative:margin" coordorigin="-77" coordsize="65517,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">
                <v:rect id="Rectangle 3" o:spid="_x0000_s1027"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rWq8UA&#10;AADaAAAADwAAAGRycy9kb3ducmV2LnhtbESP3WrCQBSE7wt9h+UIvaubWGwlupG2IIgFwT+8PWRP&#10;stHs2ZBdNfbpu4VCL4eZ+YaZzXvbiCt1vnasIB0mIIgLp2uuFOx3i+cJCB+QNTaOScGdPMzzx4cZ&#10;ZtrdeEPXbahEhLDPUIEJoc2k9IUhi37oWuLola6zGKLsKqk7vEW4beQoSV6lxZrjgsGWPg0V5+3F&#10;KmjKj7XZn2i1Xhzfxpev77Qc1Qelngb9+xREoD78h//aS63gBX6vxBs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tarxQAAANoAAAAPAAAAAAAAAAAAAAAAAJgCAABkcnMv&#10;ZG93bnJldi54bWxQSwUGAAAAAAQABAD1AAAAigMAAAAA&#10;" fillcolor="#bfbfbf [2412]" stroked="f" strokeweight="2pt">
                  <v:fill color2="#f2f2f2 [3052]" angle="90" colors="0 #bfbfbf;.5 #bfbfbf;1 #f2f2f2" focus="100%" type="gradient"/>
                </v:rect>
                <v:shapetype id="_x0000_t202" coordsize="21600,21600" o:spt="202" path="m,l,21600r21600,l21600,xe">
                  <v:stroke joinstyle="miter"/>
                  <v:path gradientshapeok="t" o:connecttype="rect"/>
                </v:shapetype>
                <v:shape id="_x0000_s1028" type="#_x0000_t202" style="position:absolute;left:-77;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3525454C" w14:textId="77777777" w:rsidR="0079461E" w:rsidRPr="0058406A" w:rsidRDefault="0079461E" w:rsidP="0079461E">
                        <w:pPr>
                          <w:spacing w:after="0"/>
                          <w:rPr>
                            <w:rFonts w:ascii="Gill Sans MT" w:hAnsi="Gill Sans MT"/>
                            <w:b/>
                          </w:rPr>
                        </w:pPr>
                        <w:r>
                          <w:rPr>
                            <w:rFonts w:ascii="Gill Sans MT" w:hAnsi="Gill Sans MT"/>
                            <w:b/>
                          </w:rPr>
                          <w:t xml:space="preserve">Constraints and </w:t>
                        </w:r>
                        <w:r w:rsidR="00817AF8">
                          <w:rPr>
                            <w:rFonts w:ascii="Gill Sans MT" w:hAnsi="Gill Sans MT"/>
                            <w:b/>
                          </w:rPr>
                          <w:t>o</w:t>
                        </w:r>
                        <w:r>
                          <w:rPr>
                            <w:rFonts w:ascii="Gill Sans MT" w:hAnsi="Gill Sans MT"/>
                            <w:b/>
                          </w:rPr>
                          <w:t>pportunities</w:t>
                        </w:r>
                      </w:p>
                    </w:txbxContent>
                  </v:textbox>
                </v:shape>
              </v:group>
            </w:pict>
          </mc:Fallback>
        </mc:AlternateContent>
      </w:r>
    </w:p>
    <w:p w14:paraId="18AB846D" w14:textId="77777777" w:rsidR="00D60D44" w:rsidRDefault="00D60D44" w:rsidP="00681900">
      <w:pPr>
        <w:pStyle w:val="Heading2"/>
      </w:pPr>
      <w:r>
        <w:t>Constraints</w:t>
      </w:r>
    </w:p>
    <w:p w14:paraId="07040DC9" w14:textId="77777777" w:rsidR="00144D55" w:rsidRPr="00300D9B" w:rsidRDefault="00144D55" w:rsidP="00681900">
      <w:pPr>
        <w:pStyle w:val="Sectorbodydotpoints"/>
        <w:jc w:val="left"/>
      </w:pPr>
      <w:r w:rsidRPr="00300D9B">
        <w:t>Polarised views in the community on the harvesting of native forest</w:t>
      </w:r>
      <w:r w:rsidR="00817AF8">
        <w:t>.</w:t>
      </w:r>
    </w:p>
    <w:p w14:paraId="60895F79" w14:textId="77777777" w:rsidR="00A21084" w:rsidRDefault="00A21084" w:rsidP="00A21084">
      <w:pPr>
        <w:pStyle w:val="Sectorbodydotpoints"/>
        <w:jc w:val="left"/>
      </w:pPr>
      <w:r w:rsidRPr="00300D9B">
        <w:t>An increased use of digital communications has led to a slowdown in the growth of domestic consumption of paper, particularly in the newsprint sector.</w:t>
      </w:r>
    </w:p>
    <w:p w14:paraId="4DF81957" w14:textId="7AFDE4D9" w:rsidR="006D45EC" w:rsidRPr="00300D9B" w:rsidRDefault="006D45EC" w:rsidP="006D45EC">
      <w:pPr>
        <w:pStyle w:val="Sectorbodydotpoints"/>
        <w:jc w:val="left"/>
      </w:pPr>
      <w:r>
        <w:t xml:space="preserve">The forest industry has </w:t>
      </w:r>
      <w:r w:rsidRPr="00300D9B">
        <w:t>strong international competition</w:t>
      </w:r>
      <w:r w:rsidR="00A21084">
        <w:t>. C</w:t>
      </w:r>
      <w:r>
        <w:t>ompetitiveness in these markets is determined by currency exchange rates, transport and resource costs, product quality</w:t>
      </w:r>
      <w:r w:rsidR="00A21084">
        <w:t>, and market perceptions</w:t>
      </w:r>
      <w:r w:rsidR="00C51EC7">
        <w:t xml:space="preserve"> about the sustainability of the timber production</w:t>
      </w:r>
      <w:r>
        <w:t>.</w:t>
      </w:r>
    </w:p>
    <w:p w14:paraId="59472E16" w14:textId="5BB68F4E" w:rsidR="00A21084" w:rsidRDefault="00A21084" w:rsidP="00A21084">
      <w:pPr>
        <w:pStyle w:val="Sectorbodydotpoints"/>
        <w:jc w:val="left"/>
      </w:pPr>
      <w:r>
        <w:t>The n</w:t>
      </w:r>
      <w:r w:rsidRPr="00300D9B">
        <w:t xml:space="preserve">ative forest sector requires a market for large volumes of </w:t>
      </w:r>
      <w:r w:rsidR="00F1369E">
        <w:t>by-product (</w:t>
      </w:r>
      <w:r w:rsidRPr="00300D9B">
        <w:t>residues</w:t>
      </w:r>
      <w:r w:rsidR="00F1369E">
        <w:t>)</w:t>
      </w:r>
      <w:r w:rsidRPr="00300D9B">
        <w:t xml:space="preserve"> to make harvest and processing of </w:t>
      </w:r>
      <w:r>
        <w:t xml:space="preserve">sawlog and veneer logs </w:t>
      </w:r>
      <w:r w:rsidRPr="00300D9B">
        <w:t xml:space="preserve">economically sustainable. </w:t>
      </w:r>
    </w:p>
    <w:p w14:paraId="44F7E049" w14:textId="6C13363F" w:rsidR="006D45EC" w:rsidRPr="00300D9B" w:rsidRDefault="006D45EC" w:rsidP="006D45EC">
      <w:pPr>
        <w:pStyle w:val="Sectorbodydotpoints"/>
        <w:jc w:val="left"/>
      </w:pPr>
      <w:r>
        <w:t>The p</w:t>
      </w:r>
      <w:r w:rsidRPr="00300D9B">
        <w:t xml:space="preserve">lantation sector </w:t>
      </w:r>
      <w:r>
        <w:t>currently only provides residues –</w:t>
      </w:r>
      <w:r w:rsidR="00A21084">
        <w:t xml:space="preserve"> </w:t>
      </w:r>
      <w:r>
        <w:t xml:space="preserve">no sawn timber or veneer – and competes strongly </w:t>
      </w:r>
      <w:r w:rsidR="00A21084">
        <w:t xml:space="preserve">in the market </w:t>
      </w:r>
      <w:r>
        <w:t>with native forest residues.</w:t>
      </w:r>
      <w:r w:rsidRPr="00300D9B">
        <w:t xml:space="preserve"> </w:t>
      </w:r>
    </w:p>
    <w:p w14:paraId="4903061A" w14:textId="140DE3B2" w:rsidR="00F14917" w:rsidRPr="00300D9B" w:rsidRDefault="00F14917" w:rsidP="00F14917">
      <w:pPr>
        <w:pStyle w:val="Sectorbodydotpoints"/>
        <w:jc w:val="left"/>
      </w:pPr>
      <w:r>
        <w:t>The shift</w:t>
      </w:r>
      <w:r w:rsidRPr="00300D9B">
        <w:t xml:space="preserve"> from native </w:t>
      </w:r>
      <w:r>
        <w:t xml:space="preserve">forest </w:t>
      </w:r>
      <w:r w:rsidRPr="00300D9B">
        <w:t xml:space="preserve">to plantation </w:t>
      </w:r>
      <w:r>
        <w:t xml:space="preserve">timber </w:t>
      </w:r>
      <w:r w:rsidRPr="00300D9B">
        <w:t xml:space="preserve">has implications for </w:t>
      </w:r>
      <w:r>
        <w:t xml:space="preserve">industry </w:t>
      </w:r>
      <w:r w:rsidRPr="00300D9B">
        <w:t xml:space="preserve">as the plantation resource is inappropriate for </w:t>
      </w:r>
      <w:r>
        <w:t>native forest</w:t>
      </w:r>
      <w:r w:rsidRPr="00300D9B">
        <w:t xml:space="preserve"> markets </w:t>
      </w:r>
      <w:r>
        <w:t xml:space="preserve">(sawmill, </w:t>
      </w:r>
      <w:r w:rsidRPr="00300D9B">
        <w:t>veneer</w:t>
      </w:r>
      <w:r>
        <w:t xml:space="preserve"> and specialty timbers</w:t>
      </w:r>
      <w:r w:rsidRPr="00300D9B">
        <w:t>)</w:t>
      </w:r>
      <w:r>
        <w:t xml:space="preserve"> </w:t>
      </w:r>
      <w:r w:rsidRPr="00300D9B">
        <w:t xml:space="preserve">and </w:t>
      </w:r>
      <w:r>
        <w:t xml:space="preserve">current </w:t>
      </w:r>
      <w:r w:rsidRPr="00300D9B">
        <w:t>processing technology</w:t>
      </w:r>
      <w:r>
        <w:t xml:space="preserve"> (see below)</w:t>
      </w:r>
      <w:r w:rsidRPr="00300D9B">
        <w:t>. However</w:t>
      </w:r>
      <w:r>
        <w:t>,</w:t>
      </w:r>
      <w:r w:rsidRPr="00300D9B">
        <w:t xml:space="preserve"> research indicates that </w:t>
      </w:r>
      <w:r>
        <w:t>the plantation</w:t>
      </w:r>
      <w:r w:rsidRPr="00300D9B">
        <w:t xml:space="preserve"> resource might be suitable for structural products</w:t>
      </w:r>
      <w:r>
        <w:t>.</w:t>
      </w:r>
      <w:r w:rsidRPr="00300D9B">
        <w:t xml:space="preserve">  </w:t>
      </w:r>
    </w:p>
    <w:p w14:paraId="720593EB" w14:textId="75520844" w:rsidR="00D52C44" w:rsidRPr="00D52C44" w:rsidRDefault="00D52C44" w:rsidP="00F14917">
      <w:pPr>
        <w:pStyle w:val="Sectorbodydotpoints"/>
        <w:jc w:val="left"/>
      </w:pPr>
      <w:r w:rsidRPr="00D52C44">
        <w:t xml:space="preserve">Product development research, new investments and retooling for native forest </w:t>
      </w:r>
      <w:proofErr w:type="spellStart"/>
      <w:r w:rsidRPr="00D52C44">
        <w:t>sawmillers</w:t>
      </w:r>
      <w:proofErr w:type="spellEnd"/>
      <w:r w:rsidRPr="00D52C44">
        <w:t xml:space="preserve"> will be required to </w:t>
      </w:r>
      <w:proofErr w:type="spellStart"/>
      <w:r w:rsidRPr="00D52C44">
        <w:t>transitition</w:t>
      </w:r>
      <w:proofErr w:type="spellEnd"/>
      <w:r w:rsidRPr="00D52C44">
        <w:t xml:space="preserve"> to a viable hardwood plantation processing industry due to differences in size and characteristics of wood from native forests</w:t>
      </w:r>
      <w:r>
        <w:t>.</w:t>
      </w:r>
      <w:bookmarkStart w:id="0" w:name="_GoBack"/>
      <w:bookmarkEnd w:id="0"/>
    </w:p>
    <w:p w14:paraId="14027A00" w14:textId="5B08A295" w:rsidR="00F14917" w:rsidRPr="00300D9B" w:rsidRDefault="00F14917" w:rsidP="00F14917">
      <w:pPr>
        <w:pStyle w:val="Sectorbodydotpoints"/>
        <w:jc w:val="left"/>
      </w:pPr>
      <w:r w:rsidRPr="00300D9B">
        <w:t xml:space="preserve">Some </w:t>
      </w:r>
      <w:r>
        <w:t>small-to-medium enterprises</w:t>
      </w:r>
      <w:r w:rsidRPr="00300D9B">
        <w:t xml:space="preserve"> in the sawmilling sector may lack </w:t>
      </w:r>
      <w:r>
        <w:t xml:space="preserve">the </w:t>
      </w:r>
      <w:r w:rsidRPr="00300D9B">
        <w:t xml:space="preserve">scale </w:t>
      </w:r>
      <w:r>
        <w:t xml:space="preserve">required </w:t>
      </w:r>
      <w:r w:rsidRPr="00300D9B">
        <w:t>to undertake major investments (downstream processing upgrades) and marketing</w:t>
      </w:r>
      <w:r>
        <w:t>.</w:t>
      </w:r>
    </w:p>
    <w:p w14:paraId="473811A0" w14:textId="77777777" w:rsidR="00A21084" w:rsidRPr="00300D9B" w:rsidRDefault="00A21084" w:rsidP="00A21084">
      <w:pPr>
        <w:pStyle w:val="Sectorbodydotpoints"/>
        <w:jc w:val="left"/>
      </w:pPr>
      <w:r>
        <w:t>A</w:t>
      </w:r>
      <w:r w:rsidRPr="00300D9B">
        <w:t>geing capital in existing saw mills</w:t>
      </w:r>
      <w:r>
        <w:t>.</w:t>
      </w:r>
      <w:r w:rsidRPr="00300D9B">
        <w:t xml:space="preserve"> </w:t>
      </w:r>
    </w:p>
    <w:p w14:paraId="4B71019E" w14:textId="77777777" w:rsidR="00F14917" w:rsidRPr="00300D9B" w:rsidRDefault="00F14917" w:rsidP="00F14917">
      <w:pPr>
        <w:pStyle w:val="Sectorbodydotpoints"/>
        <w:jc w:val="left"/>
      </w:pPr>
      <w:r>
        <w:lastRenderedPageBreak/>
        <w:t>The l</w:t>
      </w:r>
      <w:r w:rsidRPr="00300D9B">
        <w:t xml:space="preserve">ong lead time between planting and harvesting </w:t>
      </w:r>
      <w:r>
        <w:t>makes</w:t>
      </w:r>
      <w:r w:rsidRPr="00300D9B">
        <w:t xml:space="preserve"> new plantation investment unattractive in </w:t>
      </w:r>
      <w:r>
        <w:t xml:space="preserve">the </w:t>
      </w:r>
      <w:r w:rsidRPr="00300D9B">
        <w:t>absence of incentives</w:t>
      </w:r>
      <w:r>
        <w:t>.</w:t>
      </w:r>
      <w:r w:rsidRPr="00300D9B">
        <w:t xml:space="preserve"> </w:t>
      </w:r>
    </w:p>
    <w:p w14:paraId="6C827227" w14:textId="77777777" w:rsidR="00A21084" w:rsidRPr="00300D9B" w:rsidRDefault="00A21084" w:rsidP="00A21084">
      <w:pPr>
        <w:pStyle w:val="Sectorbodydotpoints"/>
        <w:jc w:val="left"/>
      </w:pPr>
      <w:r w:rsidRPr="00300D9B">
        <w:t>Uncertain national</w:t>
      </w:r>
      <w:r>
        <w:t xml:space="preserve"> and </w:t>
      </w:r>
      <w:r w:rsidRPr="00300D9B">
        <w:t>international regulatory environment for carbon</w:t>
      </w:r>
      <w:r>
        <w:t xml:space="preserve"> pricing.</w:t>
      </w:r>
      <w:r w:rsidRPr="00300D9B">
        <w:t xml:space="preserve"> </w:t>
      </w:r>
    </w:p>
    <w:p w14:paraId="30E57BE2" w14:textId="77777777" w:rsidR="00144D55" w:rsidRPr="00300D9B" w:rsidRDefault="00817AF8" w:rsidP="00681900">
      <w:pPr>
        <w:pStyle w:val="Sectorbodydotpoints"/>
        <w:jc w:val="left"/>
      </w:pPr>
      <w:r>
        <w:t>W</w:t>
      </w:r>
      <w:r w:rsidR="00144D55" w:rsidRPr="00300D9B">
        <w:t>ithout domestic processing or international market certainty</w:t>
      </w:r>
      <w:r>
        <w:t>,</w:t>
      </w:r>
      <w:r w:rsidR="00144D55" w:rsidRPr="00300D9B">
        <w:t xml:space="preserve"> there is likely to be a conversion of land back to other agricultural uses as existing plantations are harvested</w:t>
      </w:r>
      <w:r>
        <w:t>.</w:t>
      </w:r>
    </w:p>
    <w:p w14:paraId="4677E1AD" w14:textId="77777777" w:rsidR="00722A14" w:rsidRDefault="00722A14" w:rsidP="00722A14">
      <w:pPr>
        <w:pStyle w:val="Sectorbodydotpoints"/>
        <w:jc w:val="left"/>
      </w:pPr>
      <w:r>
        <w:t xml:space="preserve">Willingness by stakeholders </w:t>
      </w:r>
      <w:r w:rsidR="008565F7">
        <w:t xml:space="preserve">to </w:t>
      </w:r>
      <w:r>
        <w:t xml:space="preserve">consider and accept new residue-based processing industries, such as biomass (direct energy generation), </w:t>
      </w:r>
      <w:proofErr w:type="spellStart"/>
      <w:r>
        <w:t>biochar</w:t>
      </w:r>
      <w:proofErr w:type="spellEnd"/>
      <w:r>
        <w:t>, biofuel, wood pellets and briquettes for export.</w:t>
      </w:r>
    </w:p>
    <w:p w14:paraId="0019717C" w14:textId="77777777" w:rsidR="00D60D44" w:rsidRDefault="00D60D44" w:rsidP="00A21084">
      <w:pPr>
        <w:pStyle w:val="Heading2"/>
        <w:spacing w:before="240"/>
      </w:pPr>
      <w:r>
        <w:t>Opportunities</w:t>
      </w:r>
    </w:p>
    <w:p w14:paraId="6B234809" w14:textId="77777777" w:rsidR="00144D55" w:rsidRDefault="00144D55" w:rsidP="00681900">
      <w:pPr>
        <w:pStyle w:val="Sectorbodydotpoints"/>
        <w:jc w:val="left"/>
      </w:pPr>
      <w:r>
        <w:t>Greater recognition that the forestry industry is a renewable industry which can provide sustainable long</w:t>
      </w:r>
      <w:r w:rsidR="007A5D65">
        <w:t>-</w:t>
      </w:r>
      <w:r>
        <w:t>term benefits for Tasmania</w:t>
      </w:r>
      <w:r w:rsidR="007A5D65">
        <w:t>.</w:t>
      </w:r>
    </w:p>
    <w:p w14:paraId="438F5EA2" w14:textId="77777777" w:rsidR="009E4870" w:rsidRDefault="009E4870" w:rsidP="00681900">
      <w:pPr>
        <w:pStyle w:val="Sectorbodydotpoints"/>
        <w:jc w:val="left"/>
      </w:pPr>
      <w:r>
        <w:t>Potential to maintain some exports to international woodchip markets in countries with growing demand, such as China.</w:t>
      </w:r>
    </w:p>
    <w:p w14:paraId="6E2E3A8D" w14:textId="4D355E05" w:rsidR="00144D55" w:rsidRPr="00144D55" w:rsidRDefault="00144D55" w:rsidP="00681900">
      <w:pPr>
        <w:pStyle w:val="Sectorbodydotpoints"/>
        <w:jc w:val="left"/>
      </w:pPr>
      <w:r w:rsidRPr="00144D55">
        <w:t>Increasing consumer recognition of wood as a renewable resource which can assist in reducing carbon emissions through the replacement of emissions</w:t>
      </w:r>
      <w:r w:rsidR="00C51EC7">
        <w:t>-</w:t>
      </w:r>
      <w:r w:rsidRPr="00144D55">
        <w:t>intensive non-renewable products with wood products</w:t>
      </w:r>
      <w:r w:rsidR="007A5D65">
        <w:t>.</w:t>
      </w:r>
    </w:p>
    <w:p w14:paraId="7E891AEB" w14:textId="6813B248" w:rsidR="005F79E2" w:rsidRPr="00300D9B" w:rsidRDefault="005F79E2" w:rsidP="005F79E2">
      <w:pPr>
        <w:pStyle w:val="Sectorbodydotpoints"/>
        <w:jc w:val="left"/>
      </w:pPr>
      <w:r>
        <w:t xml:space="preserve">Maturing plantation resource from </w:t>
      </w:r>
      <w:r w:rsidRPr="00300D9B">
        <w:t>Tasmanian Private Hardwood Plantation Estate</w:t>
      </w:r>
      <w:r>
        <w:t xml:space="preserve"> becoming available for international export, </w:t>
      </w:r>
      <w:r w:rsidR="00872736">
        <w:t xml:space="preserve">under </w:t>
      </w:r>
      <w:r>
        <w:t>new owners</w:t>
      </w:r>
      <w:r w:rsidR="00872736">
        <w:t>hip</w:t>
      </w:r>
      <w:r w:rsidRPr="00300D9B">
        <w:t>.</w:t>
      </w:r>
    </w:p>
    <w:p w14:paraId="1DE72449" w14:textId="1364C9A0" w:rsidR="00144D55" w:rsidRDefault="00144D55" w:rsidP="00681900">
      <w:pPr>
        <w:pStyle w:val="Sectorbodydotpoints"/>
        <w:jc w:val="left"/>
      </w:pPr>
      <w:r>
        <w:t>Processing plantation and regrowth timber for engineered wood products, veneer, plywood, laminated veneer lumber, engineered strand lumber</w:t>
      </w:r>
      <w:r w:rsidR="007A5D65">
        <w:t xml:space="preserve"> and more.</w:t>
      </w:r>
    </w:p>
    <w:p w14:paraId="4767D25F" w14:textId="025B133E" w:rsidR="00144D55" w:rsidRDefault="00144D55" w:rsidP="00681900">
      <w:pPr>
        <w:pStyle w:val="Sectorbodydotpoints"/>
        <w:jc w:val="left"/>
      </w:pPr>
      <w:r>
        <w:t xml:space="preserve">Competitive market benefits of </w:t>
      </w:r>
      <w:r w:rsidR="007A5D65">
        <w:t xml:space="preserve">Forest Stewardship Council </w:t>
      </w:r>
      <w:r w:rsidR="00C51EC7">
        <w:t>certification of sustainably-</w:t>
      </w:r>
      <w:r>
        <w:t>produced timber</w:t>
      </w:r>
      <w:r w:rsidR="007A5D65">
        <w:t>.</w:t>
      </w:r>
    </w:p>
    <w:p w14:paraId="1357D0C4" w14:textId="77777777" w:rsidR="00C51EC7" w:rsidRDefault="00C51EC7" w:rsidP="00C51EC7">
      <w:pPr>
        <w:pStyle w:val="Sectorbodydotpoints"/>
        <w:jc w:val="left"/>
      </w:pPr>
      <w:r>
        <w:t>International trend for greater use of wood products in environmentally-friendly buildings, such as prefabricated houses and multi-storey timber buildings.</w:t>
      </w:r>
    </w:p>
    <w:p w14:paraId="2B5BDB4B" w14:textId="77777777" w:rsidR="007E1653" w:rsidRDefault="007E1653" w:rsidP="007E1653">
      <w:pPr>
        <w:pStyle w:val="Sectorbodydotpoints"/>
      </w:pPr>
      <w:r>
        <w:t>W</w:t>
      </w:r>
      <w:r w:rsidRPr="00417CC9">
        <w:t>oody biomass processing opportunities</w:t>
      </w:r>
      <w:r>
        <w:t>, including biofuels and bioenergy</w:t>
      </w:r>
      <w:r w:rsidRPr="00417CC9">
        <w:t>.</w:t>
      </w:r>
    </w:p>
    <w:p w14:paraId="1F36C0E9" w14:textId="77777777" w:rsidR="00C51EC7" w:rsidRDefault="00C51EC7" w:rsidP="00C51EC7">
      <w:pPr>
        <w:pStyle w:val="Sectorbodydotpoints"/>
        <w:jc w:val="left"/>
      </w:pPr>
      <w:r>
        <w:t xml:space="preserve">Potential for increasing the value of products produced from Tasmania’s specialty timbers. </w:t>
      </w:r>
    </w:p>
    <w:p w14:paraId="5C2DE09A" w14:textId="77777777" w:rsidR="00144D55" w:rsidRDefault="00144D55" w:rsidP="00681900">
      <w:pPr>
        <w:pStyle w:val="Sectorbodydotpoints"/>
        <w:jc w:val="left"/>
      </w:pPr>
      <w:r>
        <w:t>Opportunities arising from carbon farming through expanded tree planting on private land, and a g</w:t>
      </w:r>
      <w:r w:rsidR="001104CF">
        <w:t>r</w:t>
      </w:r>
      <w:r>
        <w:t>eater acknow</w:t>
      </w:r>
      <w:r w:rsidR="001104CF">
        <w:t xml:space="preserve">ledgement of </w:t>
      </w:r>
      <w:r>
        <w:t>th</w:t>
      </w:r>
      <w:r w:rsidR="001104CF">
        <w:t>e</w:t>
      </w:r>
      <w:r>
        <w:t xml:space="preserve"> role that the </w:t>
      </w:r>
      <w:r w:rsidR="007A5D65">
        <w:t>f</w:t>
      </w:r>
      <w:r>
        <w:t xml:space="preserve">orestry industry can play in </w:t>
      </w:r>
      <w:r w:rsidR="007A5D65">
        <w:t>c</w:t>
      </w:r>
      <w:r>
        <w:t>arbon sequestration.</w:t>
      </w:r>
    </w:p>
    <w:p w14:paraId="670E5307" w14:textId="7037DB27" w:rsidR="00E8025B" w:rsidRDefault="00144D55" w:rsidP="00E8025B">
      <w:pPr>
        <w:pStyle w:val="Sectorbodydotpoints"/>
        <w:ind w:left="426" w:hanging="426"/>
        <w:jc w:val="left"/>
      </w:pPr>
      <w:r>
        <w:t>Opportunity to export Tasmania’s forestry expertise through consultancy services interstate and overseas</w:t>
      </w:r>
    </w:p>
    <w:p w14:paraId="6CB4F909" w14:textId="77777777" w:rsidR="008565F7" w:rsidRDefault="00D17F30" w:rsidP="00D17F30">
      <w:pPr>
        <w:tabs>
          <w:tab w:val="left" w:pos="10490"/>
        </w:tabs>
        <w:spacing w:before="240"/>
        <w:ind w:left="-284"/>
        <w:rPr>
          <w:rFonts w:ascii="Gill Sans MT" w:hAnsi="Gill Sans MT"/>
        </w:rPr>
      </w:pPr>
      <w:r w:rsidRPr="00E8025B">
        <w:rPr>
          <w:rFonts w:ascii="Gill Sans MT" w:hAnsi="Gill Sans MT"/>
        </w:rPr>
        <w:t xml:space="preserve">The </w:t>
      </w:r>
      <w:r w:rsidR="006F67F7">
        <w:rPr>
          <w:rFonts w:ascii="Gill Sans MT" w:hAnsi="Gill Sans MT"/>
        </w:rPr>
        <w:t xml:space="preserve">Tasmanian </w:t>
      </w:r>
      <w:r w:rsidRPr="00E8025B">
        <w:rPr>
          <w:rFonts w:ascii="Gill Sans MT" w:hAnsi="Gill Sans MT"/>
        </w:rPr>
        <w:t>Government recognises the importance of forests on public and private land as a valuable and sustainable economic resource with a range of potential uses</w:t>
      </w:r>
      <w:r w:rsidR="008565F7">
        <w:rPr>
          <w:rFonts w:ascii="Gill Sans MT" w:hAnsi="Gill Sans MT"/>
        </w:rPr>
        <w:t>.</w:t>
      </w:r>
    </w:p>
    <w:p w14:paraId="75C2B6B7" w14:textId="6AF9B4DB" w:rsidR="00D17F30" w:rsidRPr="00417CC9" w:rsidRDefault="006F67F7" w:rsidP="001E571D">
      <w:pPr>
        <w:tabs>
          <w:tab w:val="left" w:pos="10490"/>
        </w:tabs>
        <w:spacing w:before="240" w:after="120"/>
        <w:ind w:left="-284"/>
        <w:rPr>
          <w:rFonts w:ascii="Gill Sans MT" w:hAnsi="Gill Sans MT"/>
        </w:rPr>
      </w:pPr>
      <w:r>
        <w:rPr>
          <w:rFonts w:ascii="Gill Sans MT" w:hAnsi="Gill Sans MT"/>
        </w:rPr>
        <w:t>It</w:t>
      </w:r>
      <w:r w:rsidR="00D17F30" w:rsidRPr="00417CC9">
        <w:rPr>
          <w:rFonts w:ascii="Gill Sans MT" w:hAnsi="Gill Sans MT"/>
        </w:rPr>
        <w:t xml:space="preserve"> </w:t>
      </w:r>
      <w:r w:rsidR="00722A14">
        <w:rPr>
          <w:rFonts w:ascii="Gill Sans MT" w:hAnsi="Gill Sans MT"/>
        </w:rPr>
        <w:t xml:space="preserve">is </w:t>
      </w:r>
      <w:r w:rsidR="00D17F30" w:rsidRPr="00417CC9">
        <w:rPr>
          <w:rFonts w:ascii="Gill Sans MT" w:hAnsi="Gill Sans MT"/>
        </w:rPr>
        <w:t>work</w:t>
      </w:r>
      <w:r w:rsidR="00722A14">
        <w:rPr>
          <w:rFonts w:ascii="Gill Sans MT" w:hAnsi="Gill Sans MT"/>
        </w:rPr>
        <w:t>ing</w:t>
      </w:r>
      <w:r w:rsidR="00D17F30" w:rsidRPr="00417CC9">
        <w:rPr>
          <w:rFonts w:ascii="Gill Sans MT" w:hAnsi="Gill Sans MT"/>
        </w:rPr>
        <w:t xml:space="preserve"> with the </w:t>
      </w:r>
      <w:r w:rsidR="007E1653">
        <w:rPr>
          <w:rFonts w:ascii="Gill Sans MT" w:hAnsi="Gill Sans MT"/>
        </w:rPr>
        <w:t>Commonwealth</w:t>
      </w:r>
      <w:r w:rsidR="00D17F30" w:rsidRPr="00417CC9">
        <w:rPr>
          <w:rFonts w:ascii="Gill Sans MT" w:hAnsi="Gill Sans MT"/>
        </w:rPr>
        <w:t xml:space="preserve"> Government to investigate and implement initiatives to ensure that harvesting and processing capacity </w:t>
      </w:r>
      <w:r w:rsidR="001E571D">
        <w:rPr>
          <w:rFonts w:ascii="Gill Sans MT" w:hAnsi="Gill Sans MT"/>
        </w:rPr>
        <w:t xml:space="preserve">in Tasmania </w:t>
      </w:r>
      <w:r w:rsidR="00D17F30" w:rsidRPr="00417CC9">
        <w:rPr>
          <w:rFonts w:ascii="Gill Sans MT" w:hAnsi="Gill Sans MT"/>
        </w:rPr>
        <w:t xml:space="preserve">is maintained </w:t>
      </w:r>
      <w:r w:rsidR="001E571D">
        <w:rPr>
          <w:rFonts w:ascii="Gill Sans MT" w:hAnsi="Gill Sans MT"/>
        </w:rPr>
        <w:t>by</w:t>
      </w:r>
      <w:r w:rsidR="00D17F30" w:rsidRPr="00417CC9">
        <w:rPr>
          <w:rFonts w:ascii="Gill Sans MT" w:hAnsi="Gill Sans MT"/>
        </w:rPr>
        <w:t xml:space="preserve"> </w:t>
      </w:r>
      <w:r w:rsidR="001E571D">
        <w:rPr>
          <w:rFonts w:ascii="Gill Sans MT" w:hAnsi="Gill Sans MT"/>
        </w:rPr>
        <w:t xml:space="preserve">the </w:t>
      </w:r>
      <w:r w:rsidR="00D17F30" w:rsidRPr="00417CC9">
        <w:rPr>
          <w:rFonts w:ascii="Gill Sans MT" w:hAnsi="Gill Sans MT"/>
        </w:rPr>
        <w:t>efficient and cost-ef</w:t>
      </w:r>
      <w:r w:rsidR="001E571D">
        <w:rPr>
          <w:rFonts w:ascii="Gill Sans MT" w:hAnsi="Gill Sans MT"/>
        </w:rPr>
        <w:t>fective use of harvest and processing</w:t>
      </w:r>
      <w:r w:rsidR="00D17F30" w:rsidRPr="00417CC9">
        <w:rPr>
          <w:rFonts w:ascii="Gill Sans MT" w:hAnsi="Gill Sans MT"/>
        </w:rPr>
        <w:t xml:space="preserve"> residues, including:</w:t>
      </w:r>
    </w:p>
    <w:p w14:paraId="49E892C6" w14:textId="2748B1C6" w:rsidR="00D17F30" w:rsidRPr="00D52C44" w:rsidRDefault="00AD077B" w:rsidP="001E571D">
      <w:pPr>
        <w:pStyle w:val="ListParagraph"/>
        <w:numPr>
          <w:ilvl w:val="0"/>
          <w:numId w:val="4"/>
        </w:numPr>
        <w:tabs>
          <w:tab w:val="left" w:pos="10490"/>
        </w:tabs>
        <w:spacing w:before="200" w:after="120"/>
        <w:ind w:left="431" w:hanging="357"/>
        <w:contextualSpacing w:val="0"/>
        <w:rPr>
          <w:rFonts w:ascii="Gill Sans MT" w:hAnsi="Gill Sans MT"/>
        </w:rPr>
      </w:pPr>
      <w:proofErr w:type="gramStart"/>
      <w:r w:rsidRPr="00D52C44">
        <w:rPr>
          <w:rFonts w:ascii="Gill Sans MT" w:hAnsi="Gill Sans MT"/>
        </w:rPr>
        <w:t>investigating</w:t>
      </w:r>
      <w:proofErr w:type="gramEnd"/>
      <w:r w:rsidR="00D17F30" w:rsidRPr="00D52C44">
        <w:rPr>
          <w:rFonts w:ascii="Gill Sans MT" w:hAnsi="Gill Sans MT"/>
        </w:rPr>
        <w:t xml:space="preserve"> </w:t>
      </w:r>
      <w:r w:rsidR="0093005A" w:rsidRPr="00D52C44">
        <w:rPr>
          <w:rFonts w:ascii="Gill Sans MT" w:hAnsi="Gill Sans MT"/>
        </w:rPr>
        <w:t xml:space="preserve">the </w:t>
      </w:r>
      <w:r w:rsidR="00D17F30" w:rsidRPr="00D52C44">
        <w:rPr>
          <w:rFonts w:ascii="Gill Sans MT" w:hAnsi="Gill Sans MT"/>
        </w:rPr>
        <w:t xml:space="preserve">economic viability and environmental sustainability of options </w:t>
      </w:r>
      <w:r w:rsidR="00D52C44" w:rsidRPr="00D52C44">
        <w:rPr>
          <w:rFonts w:ascii="Gill Sans MT" w:hAnsi="Gill Sans MT"/>
        </w:rPr>
        <w:t>to minimise, process, value-add and utilise wood residues in Tasmania</w:t>
      </w:r>
      <w:r w:rsidR="001E571D" w:rsidRPr="00D52C44">
        <w:rPr>
          <w:rFonts w:ascii="Gill Sans MT" w:hAnsi="Gill Sans MT"/>
        </w:rPr>
        <w:t>.</w:t>
      </w:r>
    </w:p>
    <w:p w14:paraId="7A539F5A" w14:textId="2CEEE161" w:rsidR="00D17F30" w:rsidRPr="00417CC9" w:rsidRDefault="001E571D" w:rsidP="007E1653">
      <w:pPr>
        <w:pStyle w:val="ListParagraph"/>
        <w:numPr>
          <w:ilvl w:val="0"/>
          <w:numId w:val="4"/>
        </w:numPr>
        <w:tabs>
          <w:tab w:val="left" w:pos="10490"/>
        </w:tabs>
        <w:spacing w:before="120"/>
        <w:ind w:left="431" w:hanging="357"/>
        <w:contextualSpacing w:val="0"/>
        <w:rPr>
          <w:rFonts w:ascii="Gill Sans MT" w:hAnsi="Gill Sans MT"/>
        </w:rPr>
      </w:pPr>
      <w:r>
        <w:rPr>
          <w:rFonts w:ascii="Gill Sans MT" w:hAnsi="Gill Sans MT"/>
        </w:rPr>
        <w:t>I</w:t>
      </w:r>
      <w:r w:rsidR="00D17F30" w:rsidRPr="00417CC9">
        <w:rPr>
          <w:rFonts w:ascii="Gill Sans MT" w:hAnsi="Gill Sans MT"/>
        </w:rPr>
        <w:t>mmediate solutions for residue utilisation, and facilitate the implementation of medium to long-term sustainable options.</w:t>
      </w:r>
    </w:p>
    <w:p w14:paraId="75152F56" w14:textId="77777777" w:rsidR="00D17F30" w:rsidRPr="00417CC9" w:rsidRDefault="00D17F30" w:rsidP="00D17F30">
      <w:pPr>
        <w:tabs>
          <w:tab w:val="left" w:pos="10490"/>
        </w:tabs>
        <w:spacing w:before="240"/>
        <w:ind w:left="-284"/>
        <w:rPr>
          <w:rFonts w:ascii="Gill Sans MT" w:hAnsi="Gill Sans MT"/>
        </w:rPr>
      </w:pPr>
      <w:r w:rsidRPr="00417CC9">
        <w:rPr>
          <w:rFonts w:ascii="Gill Sans MT" w:hAnsi="Gill Sans MT"/>
        </w:rPr>
        <w:lastRenderedPageBreak/>
        <w:t>The Government has a role to play in facilitating investments in the forestry sector through ensuring the right business framework is in place to promote an innovative and competitive investment environment.</w:t>
      </w:r>
    </w:p>
    <w:p w14:paraId="48C5E8F5" w14:textId="720775D6" w:rsidR="00D17F30" w:rsidRPr="00417CC9" w:rsidRDefault="00D17F30" w:rsidP="00D17F30">
      <w:pPr>
        <w:tabs>
          <w:tab w:val="left" w:pos="10490"/>
        </w:tabs>
        <w:spacing w:before="240"/>
        <w:ind w:left="-284"/>
        <w:rPr>
          <w:rFonts w:ascii="Gill Sans MT" w:hAnsi="Gill Sans MT"/>
        </w:rPr>
      </w:pPr>
      <w:r w:rsidRPr="00417CC9">
        <w:rPr>
          <w:rFonts w:ascii="Gill Sans MT" w:hAnsi="Gill Sans MT"/>
        </w:rPr>
        <w:t>Key areas where government can play a role in providing a business-enabling environment are through improvements across the areas of regulation, infrastructure and planning, skills and training, research and development and regional planning.</w:t>
      </w:r>
      <w:r w:rsidR="009230EF">
        <w:rPr>
          <w:rFonts w:ascii="Gill Sans MT" w:hAnsi="Gill Sans MT"/>
        </w:rPr>
        <w:t xml:space="preserve"> Government can also assist by ensuring that industry has a secure and sustainable supply of timber from public forests.</w:t>
      </w:r>
    </w:p>
    <w:sectPr w:rsidR="00D17F30" w:rsidRPr="00417CC9" w:rsidSect="002A6C9B">
      <w:headerReference w:type="default" r:id="rId16"/>
      <w:footerReference w:type="default" r:id="rId17"/>
      <w:pgSz w:w="11906" w:h="16838"/>
      <w:pgMar w:top="1522" w:right="849"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C0E5" w14:textId="77777777" w:rsidR="00451F9E" w:rsidRDefault="00451F9E" w:rsidP="00C167E3">
      <w:pPr>
        <w:spacing w:after="0" w:line="240" w:lineRule="auto"/>
      </w:pPr>
      <w:r>
        <w:separator/>
      </w:r>
    </w:p>
  </w:endnote>
  <w:endnote w:type="continuationSeparator" w:id="0">
    <w:p w14:paraId="6E260DC7" w14:textId="77777777" w:rsidR="00451F9E" w:rsidRDefault="00451F9E" w:rsidP="00C1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09880"/>
      <w:docPartObj>
        <w:docPartGallery w:val="Page Numbers (Bottom of Page)"/>
        <w:docPartUnique/>
      </w:docPartObj>
    </w:sdtPr>
    <w:sdtEndPr>
      <w:rPr>
        <w:noProof/>
      </w:rPr>
    </w:sdtEndPr>
    <w:sdtContent>
      <w:p w14:paraId="3C1FE72B" w14:textId="1C8DF4DC" w:rsidR="002A6C9B" w:rsidRDefault="002A6C9B" w:rsidP="002A6C9B">
        <w:pPr>
          <w:pStyle w:val="Header"/>
          <w:ind w:left="-284"/>
        </w:pPr>
        <w:r>
          <w:rPr>
            <w:noProof/>
            <w:lang w:eastAsia="en-AU"/>
          </w:rPr>
          <mc:AlternateContent>
            <mc:Choice Requires="wps">
              <w:drawing>
                <wp:anchor distT="0" distB="0" distL="114300" distR="114300" simplePos="0" relativeHeight="251703296" behindDoc="1" locked="0" layoutInCell="1" allowOverlap="1" wp14:anchorId="58CD66C5" wp14:editId="54FDD045">
                  <wp:simplePos x="0" y="0"/>
                  <wp:positionH relativeFrom="page">
                    <wp:align>right</wp:align>
                  </wp:positionH>
                  <wp:positionV relativeFrom="paragraph">
                    <wp:posOffset>7930</wp:posOffset>
                  </wp:positionV>
                  <wp:extent cx="7559749" cy="764481"/>
                  <wp:effectExtent l="0" t="0" r="3175" b="0"/>
                  <wp:wrapNone/>
                  <wp:docPr id="11" name="Rectangle 11"/>
                  <wp:cNvGraphicFramePr/>
                  <a:graphic xmlns:a="http://schemas.openxmlformats.org/drawingml/2006/main">
                    <a:graphicData uri="http://schemas.microsoft.com/office/word/2010/wordprocessingShape">
                      <wps:wsp>
                        <wps:cNvSpPr/>
                        <wps:spPr>
                          <a:xfrm>
                            <a:off x="0" y="0"/>
                            <a:ext cx="7559749" cy="764481"/>
                          </a:xfrm>
                          <a:prstGeom prst="rect">
                            <a:avLst/>
                          </a:prstGeom>
                          <a:gradFill>
                            <a:gsLst>
                              <a:gs pos="0">
                                <a:schemeClr val="bg1">
                                  <a:lumMod val="75000"/>
                                </a:schemeClr>
                              </a:gs>
                              <a:gs pos="50000">
                                <a:schemeClr val="bg1">
                                  <a:lumMod val="75000"/>
                                </a:schemeClr>
                              </a:gs>
                              <a:gs pos="100000">
                                <a:schemeClr val="bg1">
                                  <a:lumMod val="9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FC9F2" id="Rectangle 11" o:spid="_x0000_s1026" style="position:absolute;margin-left:544.05pt;margin-top:.6pt;width:595.25pt;height:60.2pt;z-index:-2516131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" fillcolor="#bfbfbf [2412]" stroked="f" strokeweight="2pt">
                  <v:fill color2="#f2f2f2 [3052]" angle="90" colors="0 #bfbfbf;.5 #bfbfbf;1 #f2f2f2" focus="100%" type="gradient"/>
                  <w10:wrap anchorx="page"/>
                </v:rect>
              </w:pict>
            </mc:Fallback>
          </mc:AlternateContent>
        </w:r>
        <w:r>
          <w:fldChar w:fldCharType="begin"/>
        </w:r>
        <w:r>
          <w:instrText xml:space="preserve"> PAGE   \* MERGEFORMAT </w:instrText>
        </w:r>
        <w:r>
          <w:fldChar w:fldCharType="separate"/>
        </w:r>
        <w:r w:rsidR="00D52C4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220750"/>
      <w:docPartObj>
        <w:docPartGallery w:val="Page Numbers (Bottom of Page)"/>
        <w:docPartUnique/>
      </w:docPartObj>
    </w:sdtPr>
    <w:sdtEndPr>
      <w:rPr>
        <w:noProof/>
      </w:rPr>
    </w:sdtEndPr>
    <w:sdtContent>
      <w:p w14:paraId="1BDE2C4E" w14:textId="4A2D0D3D" w:rsidR="00875825" w:rsidRDefault="00D52C44" w:rsidP="002A6C9B">
        <w:pPr>
          <w:pStyle w:val="Header"/>
          <w:ind w:left="-284"/>
        </w:pPr>
        <w:sdt>
          <w:sdtPr>
            <w:id w:val="-892814543"/>
            <w:docPartObj>
              <w:docPartGallery w:val="Page Numbers (Bottom of Page)"/>
              <w:docPartUnique/>
            </w:docPartObj>
          </w:sdtPr>
          <w:sdtEndPr>
            <w:rPr>
              <w:noProof/>
            </w:rPr>
          </w:sdtEndPr>
          <w:sdtContent>
            <w:r w:rsidR="002A6C9B">
              <w:rPr>
                <w:noProof/>
                <w:lang w:eastAsia="en-AU"/>
              </w:rPr>
              <mc:AlternateContent>
                <mc:Choice Requires="wps">
                  <w:drawing>
                    <wp:anchor distT="0" distB="0" distL="114300" distR="114300" simplePos="0" relativeHeight="251705344" behindDoc="1" locked="0" layoutInCell="1" allowOverlap="1" wp14:anchorId="13234AC4" wp14:editId="4BF7FCC5">
                      <wp:simplePos x="0" y="0"/>
                      <wp:positionH relativeFrom="page">
                        <wp:align>right</wp:align>
                      </wp:positionH>
                      <wp:positionV relativeFrom="paragraph">
                        <wp:posOffset>7930</wp:posOffset>
                      </wp:positionV>
                      <wp:extent cx="7559749" cy="764481"/>
                      <wp:effectExtent l="0" t="0" r="3175" b="0"/>
                      <wp:wrapNone/>
                      <wp:docPr id="12" name="Rectangle 12"/>
                      <wp:cNvGraphicFramePr/>
                      <a:graphic xmlns:a="http://schemas.openxmlformats.org/drawingml/2006/main">
                        <a:graphicData uri="http://schemas.microsoft.com/office/word/2010/wordprocessingShape">
                          <wps:wsp>
                            <wps:cNvSpPr/>
                            <wps:spPr>
                              <a:xfrm>
                                <a:off x="0" y="0"/>
                                <a:ext cx="7559749" cy="764481"/>
                              </a:xfrm>
                              <a:prstGeom prst="rect">
                                <a:avLst/>
                              </a:prstGeom>
                              <a:gradFill>
                                <a:gsLst>
                                  <a:gs pos="0">
                                    <a:schemeClr val="bg1">
                                      <a:lumMod val="75000"/>
                                    </a:schemeClr>
                                  </a:gs>
                                  <a:gs pos="50000">
                                    <a:schemeClr val="bg1">
                                      <a:lumMod val="75000"/>
                                    </a:schemeClr>
                                  </a:gs>
                                  <a:gs pos="100000">
                                    <a:schemeClr val="bg1">
                                      <a:lumMod val="9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0611" id="Rectangle 12" o:spid="_x0000_s1026" style="position:absolute;margin-left:544.05pt;margin-top:.6pt;width:595.25pt;height:60.2pt;z-index:-251611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" fillcolor="#bfbfbf [2412]" stroked="f" strokeweight="2pt">
                      <v:fill color2="#f2f2f2 [3052]" angle="90" colors="0 #bfbfbf;.5 #bfbfbf;1 #f2f2f2" focus="100%" type="gradient"/>
                      <w10:wrap anchorx="page"/>
                    </v:rect>
                  </w:pict>
                </mc:Fallback>
              </mc:AlternateContent>
            </w:r>
            <w:r w:rsidR="002A6C9B">
              <w:fldChar w:fldCharType="begin"/>
            </w:r>
            <w:r w:rsidR="002A6C9B">
              <w:instrText xml:space="preserve"> PAGE   \* MERGEFORMAT </w:instrText>
            </w:r>
            <w:r w:rsidR="002A6C9B">
              <w:fldChar w:fldCharType="separate"/>
            </w:r>
            <w:r>
              <w:rPr>
                <w:noProof/>
              </w:rPr>
              <w:t>5</w:t>
            </w:r>
            <w:r w:rsidR="002A6C9B">
              <w:rPr>
                <w:noProof/>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031A6" w14:textId="77777777" w:rsidR="00451F9E" w:rsidRDefault="00451F9E" w:rsidP="00C167E3">
      <w:pPr>
        <w:spacing w:after="0" w:line="240" w:lineRule="auto"/>
      </w:pPr>
      <w:r>
        <w:separator/>
      </w:r>
    </w:p>
  </w:footnote>
  <w:footnote w:type="continuationSeparator" w:id="0">
    <w:p w14:paraId="2B20C3A1" w14:textId="77777777" w:rsidR="00451F9E" w:rsidRDefault="00451F9E" w:rsidP="00C16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633B" w14:textId="77777777" w:rsidR="00C167E3" w:rsidRDefault="002E64FE">
    <w:pPr>
      <w:pStyle w:val="Header"/>
    </w:pPr>
    <w:r>
      <w:rPr>
        <w:noProof/>
        <w:lang w:eastAsia="en-AU"/>
      </w:rPr>
      <mc:AlternateContent>
        <mc:Choice Requires="wps">
          <w:drawing>
            <wp:anchor distT="0" distB="0" distL="114300" distR="114300" simplePos="0" relativeHeight="251659776" behindDoc="0" locked="0" layoutInCell="1" allowOverlap="1" wp14:anchorId="18B05BC4" wp14:editId="0F480400">
              <wp:simplePos x="0" y="0"/>
              <wp:positionH relativeFrom="column">
                <wp:posOffset>-478790</wp:posOffset>
              </wp:positionH>
              <wp:positionV relativeFrom="paragraph">
                <wp:posOffset>1527810</wp:posOffset>
              </wp:positionV>
              <wp:extent cx="4178300" cy="365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365760"/>
                      </a:xfrm>
                      <a:prstGeom prst="rect">
                        <a:avLst/>
                      </a:prstGeom>
                      <a:noFill/>
                      <a:ln w="9525">
                        <a:noFill/>
                        <a:miter lim="800000"/>
                        <a:headEnd/>
                        <a:tailEnd/>
                      </a:ln>
                    </wps:spPr>
                    <wps:txbx>
                      <w:txbxContent>
                        <w:p w14:paraId="7A11C1D1" w14:textId="77777777" w:rsidR="00627E03" w:rsidRPr="00627E03" w:rsidRDefault="002E64FE" w:rsidP="00627E03">
                          <w:pPr>
                            <w:spacing w:after="0" w:line="240" w:lineRule="auto"/>
                            <w:rPr>
                              <w:rFonts w:ascii="Gill Sans MT" w:hAnsi="Gill Sans MT"/>
                              <w:sz w:val="40"/>
                            </w:rPr>
                          </w:pPr>
                          <w:r>
                            <w:rPr>
                              <w:rFonts w:ascii="Gill Sans MT" w:hAnsi="Gill Sans MT"/>
                              <w:sz w:val="40"/>
                            </w:rPr>
                            <w:t>Forestry and related products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8B05BC4" id="_x0000_t202" coordsize="21600,21600" o:spt="202" path="m,l,21600r21600,l21600,xe">
              <v:stroke joinstyle="miter"/>
              <v:path gradientshapeok="t" o:connecttype="rect"/>
            </v:shapetype>
            <v:shape id="Text Box 2" o:spid="_x0000_s1029" type="#_x0000_t202" style="position:absolute;margin-left:-37.7pt;margin-top:120.3pt;width:329pt;height:28.8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" filled="f" stroked="f">
              <v:textbox>
                <w:txbxContent>
                  <w:p w14:paraId="7A11C1D1" w14:textId="77777777" w:rsidR="00627E03" w:rsidRPr="00627E03" w:rsidRDefault="002E64FE" w:rsidP="00627E03">
                    <w:pPr>
                      <w:spacing w:after="0" w:line="240" w:lineRule="auto"/>
                      <w:rPr>
                        <w:rFonts w:ascii="Gill Sans MT" w:hAnsi="Gill Sans MT"/>
                        <w:sz w:val="40"/>
                      </w:rPr>
                    </w:pPr>
                    <w:r>
                      <w:rPr>
                        <w:rFonts w:ascii="Gill Sans MT" w:hAnsi="Gill Sans MT"/>
                        <w:sz w:val="40"/>
                      </w:rPr>
                      <w:t>Forestry and related products</w:t>
                    </w:r>
                  </w:p>
                </w:txbxContent>
              </v:textbox>
            </v:shape>
          </w:pict>
        </mc:Fallback>
      </mc:AlternateContent>
    </w:r>
    <w:r w:rsidR="003E3BF6">
      <w:rPr>
        <w:noProof/>
        <w:lang w:eastAsia="en-AU"/>
      </w:rPr>
      <mc:AlternateContent>
        <mc:Choice Requires="wps">
          <w:drawing>
            <wp:anchor distT="0" distB="0" distL="114300" distR="114300" simplePos="0" relativeHeight="251666944" behindDoc="0" locked="0" layoutInCell="1" allowOverlap="1" wp14:anchorId="31F5CB11" wp14:editId="58CE2029">
              <wp:simplePos x="0" y="0"/>
              <wp:positionH relativeFrom="column">
                <wp:posOffset>2514600</wp:posOffset>
              </wp:positionH>
              <wp:positionV relativeFrom="paragraph">
                <wp:posOffset>-167336</wp:posOffset>
              </wp:positionV>
              <wp:extent cx="3677920" cy="519430"/>
              <wp:effectExtent l="0" t="0" r="1778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51943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txbx>
                      <w:txbxContent>
                        <w:p w14:paraId="00C236F2" w14:textId="77777777" w:rsidR="003E3BF6" w:rsidRDefault="004E6030" w:rsidP="003E3BF6">
                          <w:pPr>
                            <w:jc w:val="right"/>
                            <w:rPr>
                              <w:rFonts w:ascii="Gill Sans MT" w:hAnsi="Gill Sans MT"/>
                              <w:sz w:val="30"/>
                              <w:szCs w:val="30"/>
                            </w:rPr>
                          </w:pPr>
                          <w:r>
                            <w:rPr>
                              <w:rFonts w:ascii="Gill Sans MT" w:hAnsi="Gill Sans MT"/>
                              <w:sz w:val="30"/>
                              <w:szCs w:val="30"/>
                            </w:rPr>
                            <w:t>Sector s</w:t>
                          </w:r>
                          <w:r w:rsidR="003E3BF6">
                            <w:rPr>
                              <w:rFonts w:ascii="Gill Sans MT" w:hAnsi="Gill Sans MT"/>
                              <w:sz w:val="30"/>
                              <w:szCs w:val="30"/>
                            </w:rPr>
                            <w:t>ummary 201</w:t>
                          </w:r>
                          <w:r w:rsidR="00300D9B">
                            <w:rPr>
                              <w:rFonts w:ascii="Gill Sans MT" w:hAnsi="Gill Sans MT"/>
                              <w:sz w:val="30"/>
                              <w:szCs w:val="30"/>
                            </w:rPr>
                            <w:t>4</w:t>
                          </w:r>
                        </w:p>
                      </w:txbxContent>
                    </wps:txbx>
                    <wps:bodyPr rot="0" vert="horz" wrap="square" lIns="91440" tIns="45720" rIns="0" bIns="45720" anchor="t" anchorCtr="0" upright="1">
                      <a:noAutofit/>
                    </wps:bodyPr>
                  </wps:wsp>
                </a:graphicData>
              </a:graphic>
            </wp:anchor>
          </w:drawing>
        </mc:Choice>
        <mc:Fallback>
          <w:pict>
            <v:shape w14:anchorId="31F5CB11" id="_x0000_s1030" type="#_x0000_t202" style="position:absolute;margin-left:198pt;margin-top:-13.2pt;width:289.6pt;height:40.9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" filled="f" stroked="f">
              <v:textbox inset=",,0">
                <w:txbxContent>
                  <w:p w14:paraId="00C236F2" w14:textId="77777777" w:rsidR="003E3BF6" w:rsidRDefault="004E6030" w:rsidP="003E3BF6">
                    <w:pPr>
                      <w:jc w:val="right"/>
                      <w:rPr>
                        <w:rFonts w:ascii="Gill Sans MT" w:hAnsi="Gill Sans MT"/>
                        <w:sz w:val="30"/>
                        <w:szCs w:val="30"/>
                      </w:rPr>
                    </w:pPr>
                    <w:r>
                      <w:rPr>
                        <w:rFonts w:ascii="Gill Sans MT" w:hAnsi="Gill Sans MT"/>
                        <w:sz w:val="30"/>
                        <w:szCs w:val="30"/>
                      </w:rPr>
                      <w:t>Sector s</w:t>
                    </w:r>
                    <w:r w:rsidR="003E3BF6">
                      <w:rPr>
                        <w:rFonts w:ascii="Gill Sans MT" w:hAnsi="Gill Sans MT"/>
                        <w:sz w:val="30"/>
                        <w:szCs w:val="30"/>
                      </w:rPr>
                      <w:t>ummary 201</w:t>
                    </w:r>
                    <w:r w:rsidR="00300D9B">
                      <w:rPr>
                        <w:rFonts w:ascii="Gill Sans MT" w:hAnsi="Gill Sans MT"/>
                        <w:sz w:val="30"/>
                        <w:szCs w:val="30"/>
                      </w:rPr>
                      <w:t>4</w:t>
                    </w:r>
                  </w:p>
                </w:txbxContent>
              </v:textbox>
            </v:shape>
          </w:pict>
        </mc:Fallback>
      </mc:AlternateContent>
    </w:r>
    <w:r w:rsidR="003E3BF6">
      <w:rPr>
        <w:noProof/>
        <w:lang w:eastAsia="en-AU"/>
      </w:rPr>
      <mc:AlternateContent>
        <mc:Choice Requires="wps">
          <w:drawing>
            <wp:anchor distT="0" distB="0" distL="114300" distR="114300" simplePos="0" relativeHeight="251664896" behindDoc="0" locked="0" layoutInCell="1" allowOverlap="1" wp14:anchorId="5C6E959A" wp14:editId="76B4A5A0">
              <wp:simplePos x="0" y="0"/>
              <wp:positionH relativeFrom="column">
                <wp:posOffset>-476885</wp:posOffset>
              </wp:positionH>
              <wp:positionV relativeFrom="paragraph">
                <wp:posOffset>1512901</wp:posOffset>
              </wp:positionV>
              <wp:extent cx="6718852" cy="47707"/>
              <wp:effectExtent l="0" t="0" r="25400" b="28575"/>
              <wp:wrapNone/>
              <wp:docPr id="21" name="Rectangle 21"/>
              <wp:cNvGraphicFramePr/>
              <a:graphic xmlns:a="http://schemas.openxmlformats.org/drawingml/2006/main">
                <a:graphicData uri="http://schemas.microsoft.com/office/word/2010/wordprocessingShape">
                  <wps:wsp>
                    <wps:cNvSpPr/>
                    <wps:spPr>
                      <a:xfrm>
                        <a:off x="0" y="0"/>
                        <a:ext cx="6718852" cy="477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AB56E" id="Rectangle 21" o:spid="_x0000_s1026" style="position:absolute;margin-left:-37.55pt;margin-top:119.15pt;width:529.05pt;height:3.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" fillcolor="white [3212]" strokecolor="white [3212]" strokeweight="2pt"/>
          </w:pict>
        </mc:Fallback>
      </mc:AlternateContent>
    </w:r>
    <w:r w:rsidR="003E3BF6">
      <w:rPr>
        <w:noProof/>
        <w:lang w:eastAsia="en-AU"/>
      </w:rPr>
      <mc:AlternateContent>
        <mc:Choice Requires="wps">
          <w:drawing>
            <wp:anchor distT="0" distB="0" distL="114300" distR="114300" simplePos="0" relativeHeight="251657728" behindDoc="0" locked="0" layoutInCell="1" allowOverlap="1" wp14:anchorId="2F175CBC" wp14:editId="0B42D813">
              <wp:simplePos x="0" y="0"/>
              <wp:positionH relativeFrom="column">
                <wp:posOffset>-452755</wp:posOffset>
              </wp:positionH>
              <wp:positionV relativeFrom="paragraph">
                <wp:posOffset>1566241</wp:posOffset>
              </wp:positionV>
              <wp:extent cx="6654800" cy="294005"/>
              <wp:effectExtent l="0" t="0" r="0" b="0"/>
              <wp:wrapNone/>
              <wp:docPr id="8" name="Rectangle 8"/>
              <wp:cNvGraphicFramePr/>
              <a:graphic xmlns:a="http://schemas.openxmlformats.org/drawingml/2006/main">
                <a:graphicData uri="http://schemas.microsoft.com/office/word/2010/wordprocessingShape">
                  <wps:wsp>
                    <wps:cNvSpPr/>
                    <wps:spPr>
                      <a:xfrm>
                        <a:off x="0" y="0"/>
                        <a:ext cx="6654800" cy="294005"/>
                      </a:xfrm>
                      <a:prstGeom prst="rect">
                        <a:avLst/>
                      </a:prstGeom>
                      <a:gradFill flip="none" rotWithShape="1">
                        <a:gsLst>
                          <a:gs pos="0">
                            <a:schemeClr val="bg1">
                              <a:lumMod val="75000"/>
                            </a:schemeClr>
                          </a:gs>
                          <a:gs pos="50000">
                            <a:schemeClr val="bg1">
                              <a:lumMod val="75000"/>
                            </a:schemeClr>
                          </a:gs>
                          <a:gs pos="100000">
                            <a:schemeClr val="bg1">
                              <a:lumMod val="9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6F5BD" id="Rectangle 8" o:spid="_x0000_s1026" style="position:absolute;margin-left:-35.65pt;margin-top:123.35pt;width:524pt;height:23.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" fillcolor="#bfbfbf [2412]" stroked="f" strokeweight="2pt">
              <v:fill color2="#f2f2f2 [3052]" rotate="t" angle="90" colors="0 #bfbfbf;.5 #bfbfbf;1 #f2f2f2" focus="100%" type="gradient"/>
            </v:rect>
          </w:pict>
        </mc:Fallback>
      </mc:AlternateContent>
    </w:r>
    <w:r w:rsidR="003E3BF6">
      <w:rPr>
        <w:noProof/>
        <w:lang w:eastAsia="en-AU"/>
      </w:rPr>
      <w:drawing>
        <wp:anchor distT="0" distB="0" distL="114300" distR="114300" simplePos="0" relativeHeight="251655680" behindDoc="0" locked="0" layoutInCell="1" allowOverlap="1" wp14:anchorId="6A7FAD23" wp14:editId="1E680894">
          <wp:simplePos x="0" y="0"/>
          <wp:positionH relativeFrom="column">
            <wp:posOffset>-906145</wp:posOffset>
          </wp:positionH>
          <wp:positionV relativeFrom="paragraph">
            <wp:posOffset>-260654</wp:posOffset>
          </wp:positionV>
          <wp:extent cx="7561691" cy="2520563"/>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691" cy="2520563"/>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2D18" w14:textId="77777777" w:rsidR="002A6C9B" w:rsidRDefault="002A6C9B" w:rsidP="002A6C9B">
    <w:pPr>
      <w:pStyle w:val="Header"/>
      <w:ind w:left="-284"/>
    </w:pPr>
    <w:r>
      <w:rPr>
        <w:noProof/>
        <w:lang w:eastAsia="en-AU"/>
      </w:rPr>
      <mc:AlternateContent>
        <mc:Choice Requires="wpg">
          <w:drawing>
            <wp:anchor distT="0" distB="0" distL="114300" distR="114300" simplePos="0" relativeHeight="251700224" behindDoc="0" locked="0" layoutInCell="1" allowOverlap="1" wp14:anchorId="73E9DBBD" wp14:editId="181DC7AC">
              <wp:simplePos x="0" y="0"/>
              <wp:positionH relativeFrom="column">
                <wp:posOffset>-294198</wp:posOffset>
              </wp:positionH>
              <wp:positionV relativeFrom="paragraph">
                <wp:posOffset>170622</wp:posOffset>
              </wp:positionV>
              <wp:extent cx="6687046" cy="278296"/>
              <wp:effectExtent l="0" t="0" r="0" b="0"/>
              <wp:wrapNone/>
              <wp:docPr id="1" name="Group 1"/>
              <wp:cNvGraphicFramePr/>
              <a:graphic xmlns:a="http://schemas.openxmlformats.org/drawingml/2006/main">
                <a:graphicData uri="http://schemas.microsoft.com/office/word/2010/wordprocessingGroup">
                  <wpg:wgp>
                    <wpg:cNvGrpSpPr/>
                    <wpg:grpSpPr>
                      <a:xfrm>
                        <a:off x="0" y="0"/>
                        <a:ext cx="6687046" cy="278296"/>
                        <a:chOff x="-15598" y="0"/>
                        <a:chExt cx="6559521" cy="278296"/>
                      </a:xfrm>
                    </wpg:grpSpPr>
                    <wps:wsp>
                      <wps:cNvPr id="6" name="Rectangle 6"/>
                      <wps:cNvSpPr/>
                      <wps:spPr>
                        <a:xfrm>
                          <a:off x="0" y="23854"/>
                          <a:ext cx="6543923" cy="198783"/>
                        </a:xfrm>
                        <a:prstGeom prst="rect">
                          <a:avLst/>
                        </a:prstGeom>
                        <a:gradFill>
                          <a:gsLst>
                            <a:gs pos="0">
                              <a:schemeClr val="bg1">
                                <a:lumMod val="75000"/>
                              </a:schemeClr>
                            </a:gs>
                            <a:gs pos="50000">
                              <a:schemeClr val="bg1">
                                <a:lumMod val="75000"/>
                              </a:schemeClr>
                            </a:gs>
                            <a:gs pos="100000">
                              <a:schemeClr val="bg1">
                                <a:lumMod val="95000"/>
                              </a:schemeClr>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15598" y="0"/>
                          <a:ext cx="2552369" cy="278296"/>
                        </a:xfrm>
                        <a:prstGeom prst="rect">
                          <a:avLst/>
                        </a:prstGeom>
                        <a:noFill/>
                        <a:ln w="9525">
                          <a:noFill/>
                          <a:miter lim="800000"/>
                          <a:headEnd/>
                          <a:tailEnd/>
                        </a:ln>
                      </wps:spPr>
                      <wps:txbx>
                        <w:txbxContent>
                          <w:p w14:paraId="072041E6" w14:textId="77777777" w:rsidR="002A6C9B" w:rsidRPr="0058406A" w:rsidRDefault="002A6C9B" w:rsidP="002A6C9B">
                            <w:pPr>
                              <w:spacing w:after="0"/>
                              <w:rPr>
                                <w:rFonts w:ascii="Gill Sans MT" w:hAnsi="Gill Sans MT"/>
                                <w:b/>
                              </w:rPr>
                            </w:pPr>
                            <w:r>
                              <w:rPr>
                                <w:rFonts w:ascii="Gill Sans MT" w:hAnsi="Gill Sans MT"/>
                                <w:b/>
                              </w:rPr>
                              <w:t>Strategy summary</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3E9DBBD" id="Group 1" o:spid="_x0000_s1031" style="position:absolute;left:0;text-align:left;margin-left:-23.15pt;margin-top:13.45pt;width:526.55pt;height:21.9pt;z-index:251700224;mso-width-relative:margin" coordorigin="-155" coordsize="65595,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">
              <v:rect id="Rectangle 6" o:spid="_x0000_s1032" style="position:absolute;top:238;width:65439;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11M8QA&#10;AADaAAAADwAAAGRycy9kb3ducmV2LnhtbESP3WoCMRSE7wXfIRzBO80q1MrWKCoIxYJQf/D2sDm7&#10;2bo5WTZRtz69KRS8HGbmG2a2aG0lbtT40rGC0TABQZw5XXKh4HjYDKYgfEDWWDkmBb/kYTHvdmaY&#10;anfnb7rtQyEihH2KCkwIdSqlzwxZ9ENXE0cvd43FEGVTSN3gPcJtJcdJMpEWS44LBmtaG8ou+6tV&#10;UOWrnTn+0Ha3Ob+/Xb8eo3xcnpTq99rlB4hAbXiF/9ufWsEE/q7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TPEAAAA2gAAAA8AAAAAAAAAAAAAAAAAmAIAAGRycy9k&#10;b3ducmV2LnhtbFBLBQYAAAAABAAEAPUAAACJAwAAAAA=&#10;" fillcolor="#bfbfbf [2412]" stroked="f" strokeweight="2pt">
                <v:fill color2="#f2f2f2 [3052]" angle="90" colors="0 #bfbfbf;.5 #bfbfbf;1 #f2f2f2" focus="100%" type="gradient"/>
              </v:rect>
              <v:shapetype id="_x0000_t202" coordsize="21600,21600" o:spt="202" path="m,l,21600r21600,l21600,xe">
                <v:stroke joinstyle="miter"/>
                <v:path gradientshapeok="t" o:connecttype="rect"/>
              </v:shapetype>
              <v:shape id="_x0000_s1033" type="#_x0000_t202" style="position:absolute;left:-155;width:25522;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072041E6" w14:textId="77777777" w:rsidR="002A6C9B" w:rsidRPr="0058406A" w:rsidRDefault="002A6C9B" w:rsidP="002A6C9B">
                      <w:pPr>
                        <w:spacing w:after="0"/>
                        <w:rPr>
                          <w:rFonts w:ascii="Gill Sans MT" w:hAnsi="Gill Sans MT"/>
                          <w:b/>
                        </w:rPr>
                      </w:pPr>
                      <w:r>
                        <w:rPr>
                          <w:rFonts w:ascii="Gill Sans MT" w:hAnsi="Gill Sans MT"/>
                          <w:b/>
                        </w:rPr>
                        <w:t>Strategy summary</w:t>
                      </w:r>
                    </w:p>
                  </w:txbxContent>
                </v:textbox>
              </v:shape>
            </v:group>
          </w:pict>
        </mc:Fallback>
      </mc:AlternateContent>
    </w:r>
  </w:p>
  <w:p w14:paraId="44039C75" w14:textId="77777777" w:rsidR="004B332A" w:rsidRDefault="004B33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86C1" w14:textId="040C5903" w:rsidR="00B23B64" w:rsidRDefault="00B23B64" w:rsidP="0058406A">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3DD6"/>
    <w:multiLevelType w:val="hybridMultilevel"/>
    <w:tmpl w:val="54BE6A5A"/>
    <w:lvl w:ilvl="0" w:tplc="8214DDB6">
      <w:start w:val="1"/>
      <w:numFmt w:val="bullet"/>
      <w:pStyle w:val="Sectorbodydotpoints"/>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nsid w:val="17A53756"/>
    <w:multiLevelType w:val="hybridMultilevel"/>
    <w:tmpl w:val="37EEF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E3346F"/>
    <w:multiLevelType w:val="hybridMultilevel"/>
    <w:tmpl w:val="632C220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nsid w:val="1FBC28C0"/>
    <w:multiLevelType w:val="hybridMultilevel"/>
    <w:tmpl w:val="E722BE0C"/>
    <w:lvl w:ilvl="0" w:tplc="79063E92">
      <w:numFmt w:val="bullet"/>
      <w:lvlText w:val="•"/>
      <w:lvlJc w:val="left"/>
      <w:pPr>
        <w:ind w:left="76" w:hanging="360"/>
      </w:pPr>
      <w:rPr>
        <w:rFonts w:ascii="Gill Sans MT" w:eastAsiaTheme="minorHAnsi" w:hAnsi="Gill Sans MT" w:cstheme="minorBid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4">
    <w:nsid w:val="24545E17"/>
    <w:multiLevelType w:val="hybridMultilevel"/>
    <w:tmpl w:val="D19A902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nsid w:val="3D6B60C7"/>
    <w:multiLevelType w:val="hybridMultilevel"/>
    <w:tmpl w:val="D83C0B5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nsid w:val="442A4FBB"/>
    <w:multiLevelType w:val="hybridMultilevel"/>
    <w:tmpl w:val="E8BCF2C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nsid w:val="48C327C3"/>
    <w:multiLevelType w:val="hybridMultilevel"/>
    <w:tmpl w:val="5AE8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0"/>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E3"/>
    <w:rsid w:val="00022BAC"/>
    <w:rsid w:val="00090DB4"/>
    <w:rsid w:val="000B1CDC"/>
    <w:rsid w:val="000C5351"/>
    <w:rsid w:val="000E4476"/>
    <w:rsid w:val="001104CF"/>
    <w:rsid w:val="00120E51"/>
    <w:rsid w:val="0012278B"/>
    <w:rsid w:val="00144D55"/>
    <w:rsid w:val="001D2311"/>
    <w:rsid w:val="001E571D"/>
    <w:rsid w:val="001F34F5"/>
    <w:rsid w:val="002715EA"/>
    <w:rsid w:val="002A6C9B"/>
    <w:rsid w:val="002E1A84"/>
    <w:rsid w:val="002E64FE"/>
    <w:rsid w:val="00300D9B"/>
    <w:rsid w:val="00370D0D"/>
    <w:rsid w:val="003901F5"/>
    <w:rsid w:val="003E3BF6"/>
    <w:rsid w:val="00413BC7"/>
    <w:rsid w:val="00417CC9"/>
    <w:rsid w:val="00424BDF"/>
    <w:rsid w:val="00451F9E"/>
    <w:rsid w:val="00481F4D"/>
    <w:rsid w:val="004876AC"/>
    <w:rsid w:val="004B332A"/>
    <w:rsid w:val="004D653D"/>
    <w:rsid w:val="004E6030"/>
    <w:rsid w:val="00547345"/>
    <w:rsid w:val="0058406A"/>
    <w:rsid w:val="005F79E2"/>
    <w:rsid w:val="00627E03"/>
    <w:rsid w:val="00681900"/>
    <w:rsid w:val="0069028A"/>
    <w:rsid w:val="006D45EC"/>
    <w:rsid w:val="006D5DFD"/>
    <w:rsid w:val="006E6AB0"/>
    <w:rsid w:val="006F67F7"/>
    <w:rsid w:val="00712F13"/>
    <w:rsid w:val="00722A14"/>
    <w:rsid w:val="00767B51"/>
    <w:rsid w:val="007711FE"/>
    <w:rsid w:val="00772004"/>
    <w:rsid w:val="00790878"/>
    <w:rsid w:val="0079461E"/>
    <w:rsid w:val="007A5D65"/>
    <w:rsid w:val="007B4E06"/>
    <w:rsid w:val="007E10A6"/>
    <w:rsid w:val="007E1653"/>
    <w:rsid w:val="007E29B2"/>
    <w:rsid w:val="00817AF8"/>
    <w:rsid w:val="00840F9A"/>
    <w:rsid w:val="00850B51"/>
    <w:rsid w:val="008565F7"/>
    <w:rsid w:val="008576C3"/>
    <w:rsid w:val="00872736"/>
    <w:rsid w:val="00875825"/>
    <w:rsid w:val="008B6EF7"/>
    <w:rsid w:val="008F38D3"/>
    <w:rsid w:val="00915737"/>
    <w:rsid w:val="009230EF"/>
    <w:rsid w:val="0093005A"/>
    <w:rsid w:val="0096206E"/>
    <w:rsid w:val="009905AA"/>
    <w:rsid w:val="009E4870"/>
    <w:rsid w:val="00A15B13"/>
    <w:rsid w:val="00A21084"/>
    <w:rsid w:val="00A436BC"/>
    <w:rsid w:val="00A47044"/>
    <w:rsid w:val="00A84DED"/>
    <w:rsid w:val="00AC080D"/>
    <w:rsid w:val="00AD077B"/>
    <w:rsid w:val="00B04BC3"/>
    <w:rsid w:val="00B23B64"/>
    <w:rsid w:val="00B249BA"/>
    <w:rsid w:val="00B717E6"/>
    <w:rsid w:val="00C0471B"/>
    <w:rsid w:val="00C167E3"/>
    <w:rsid w:val="00C51EC7"/>
    <w:rsid w:val="00C735D0"/>
    <w:rsid w:val="00C85D9F"/>
    <w:rsid w:val="00CB215C"/>
    <w:rsid w:val="00CE57DC"/>
    <w:rsid w:val="00CE5B4C"/>
    <w:rsid w:val="00CE7C08"/>
    <w:rsid w:val="00CF377E"/>
    <w:rsid w:val="00D17F30"/>
    <w:rsid w:val="00D332DC"/>
    <w:rsid w:val="00D52C44"/>
    <w:rsid w:val="00D60D44"/>
    <w:rsid w:val="00DE6095"/>
    <w:rsid w:val="00E32DB2"/>
    <w:rsid w:val="00E8025B"/>
    <w:rsid w:val="00EA47DE"/>
    <w:rsid w:val="00F0466A"/>
    <w:rsid w:val="00F1369E"/>
    <w:rsid w:val="00F14917"/>
    <w:rsid w:val="00F42BBA"/>
    <w:rsid w:val="00F479F2"/>
    <w:rsid w:val="00F5151C"/>
    <w:rsid w:val="00F8068B"/>
    <w:rsid w:val="00F9547A"/>
    <w:rsid w:val="00FC083E"/>
    <w:rsid w:val="00FC2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4CFC55"/>
  <w15:docId w15:val="{698865BC-B0EC-4D14-A231-22616AD0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D44"/>
    <w:pPr>
      <w:ind w:left="-284"/>
      <w:outlineLvl w:val="0"/>
    </w:pPr>
    <w:rPr>
      <w:rFonts w:ascii="Gill Sans MT" w:hAnsi="Gill Sans MT"/>
      <w:sz w:val="40"/>
      <w:szCs w:val="40"/>
    </w:rPr>
  </w:style>
  <w:style w:type="paragraph" w:styleId="Heading2">
    <w:name w:val="heading 2"/>
    <w:basedOn w:val="Sectorbody"/>
    <w:next w:val="Normal"/>
    <w:link w:val="Heading2Char"/>
    <w:uiPriority w:val="9"/>
    <w:unhideWhenUsed/>
    <w:qFormat/>
    <w:rsid w:val="00D60D44"/>
    <w:pPr>
      <w:spacing w:before="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7E3"/>
  </w:style>
  <w:style w:type="paragraph" w:styleId="Footer">
    <w:name w:val="footer"/>
    <w:basedOn w:val="Normal"/>
    <w:link w:val="FooterChar"/>
    <w:uiPriority w:val="99"/>
    <w:unhideWhenUsed/>
    <w:rsid w:val="00C16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7E3"/>
  </w:style>
  <w:style w:type="paragraph" w:customStyle="1" w:styleId="Sectorbody">
    <w:name w:val="Sector body"/>
    <w:basedOn w:val="Normal"/>
    <w:link w:val="SectorbodyChar"/>
    <w:qFormat/>
    <w:rsid w:val="00C167E3"/>
    <w:pPr>
      <w:spacing w:before="240" w:after="280"/>
      <w:ind w:left="-284"/>
    </w:pPr>
    <w:rPr>
      <w:rFonts w:ascii="Gill Sans MT" w:hAnsi="Gill Sans MT"/>
    </w:rPr>
  </w:style>
  <w:style w:type="character" w:styleId="Hyperlink">
    <w:name w:val="Hyperlink"/>
    <w:basedOn w:val="DefaultParagraphFont"/>
    <w:uiPriority w:val="99"/>
    <w:unhideWhenUsed/>
    <w:rsid w:val="00C167E3"/>
    <w:rPr>
      <w:color w:val="0000FF" w:themeColor="hyperlink"/>
      <w:u w:val="single"/>
    </w:rPr>
  </w:style>
  <w:style w:type="character" w:customStyle="1" w:styleId="SectorbodyChar">
    <w:name w:val="Sector body Char"/>
    <w:basedOn w:val="DefaultParagraphFont"/>
    <w:link w:val="Sectorbody"/>
    <w:rsid w:val="00C167E3"/>
    <w:rPr>
      <w:rFonts w:ascii="Gill Sans MT" w:hAnsi="Gill Sans MT"/>
    </w:rPr>
  </w:style>
  <w:style w:type="character" w:customStyle="1" w:styleId="Heading1Char">
    <w:name w:val="Heading 1 Char"/>
    <w:basedOn w:val="DefaultParagraphFont"/>
    <w:link w:val="Heading1"/>
    <w:uiPriority w:val="9"/>
    <w:rsid w:val="00D60D44"/>
    <w:rPr>
      <w:rFonts w:ascii="Gill Sans MT" w:hAnsi="Gill Sans MT"/>
      <w:sz w:val="40"/>
      <w:szCs w:val="40"/>
    </w:rPr>
  </w:style>
  <w:style w:type="character" w:customStyle="1" w:styleId="Heading2Char">
    <w:name w:val="Heading 2 Char"/>
    <w:basedOn w:val="DefaultParagraphFont"/>
    <w:link w:val="Heading2"/>
    <w:uiPriority w:val="9"/>
    <w:rsid w:val="00D60D44"/>
    <w:rPr>
      <w:rFonts w:ascii="Gill Sans MT" w:hAnsi="Gill Sans MT"/>
      <w:b/>
    </w:rPr>
  </w:style>
  <w:style w:type="paragraph" w:customStyle="1" w:styleId="Sectorbodystats">
    <w:name w:val="Sector body stats"/>
    <w:basedOn w:val="Sectorbody"/>
    <w:link w:val="SectorbodystatsChar"/>
    <w:qFormat/>
    <w:rsid w:val="00D60D44"/>
    <w:pPr>
      <w:spacing w:before="0" w:after="0"/>
    </w:pPr>
  </w:style>
  <w:style w:type="paragraph" w:customStyle="1" w:styleId="Sectorbodydotpoints">
    <w:name w:val="Sector body dot points"/>
    <w:basedOn w:val="Sectorbodystats"/>
    <w:link w:val="SectorbodydotpointsChar"/>
    <w:qFormat/>
    <w:rsid w:val="00300D9B"/>
    <w:pPr>
      <w:numPr>
        <w:numId w:val="1"/>
      </w:numPr>
      <w:spacing w:after="120"/>
      <w:jc w:val="both"/>
    </w:pPr>
  </w:style>
  <w:style w:type="character" w:customStyle="1" w:styleId="SectorbodystatsChar">
    <w:name w:val="Sector body stats Char"/>
    <w:basedOn w:val="SectorbodyChar"/>
    <w:link w:val="Sectorbodystats"/>
    <w:rsid w:val="00D60D44"/>
    <w:rPr>
      <w:rFonts w:ascii="Gill Sans MT" w:hAnsi="Gill Sans MT"/>
    </w:rPr>
  </w:style>
  <w:style w:type="paragraph" w:styleId="BalloonText">
    <w:name w:val="Balloon Text"/>
    <w:basedOn w:val="Normal"/>
    <w:link w:val="BalloonTextChar"/>
    <w:uiPriority w:val="99"/>
    <w:semiHidden/>
    <w:unhideWhenUsed/>
    <w:rsid w:val="00627E03"/>
    <w:pPr>
      <w:spacing w:after="0" w:line="240" w:lineRule="auto"/>
    </w:pPr>
    <w:rPr>
      <w:rFonts w:ascii="Tahoma" w:hAnsi="Tahoma" w:cs="Tahoma"/>
      <w:sz w:val="16"/>
      <w:szCs w:val="16"/>
    </w:rPr>
  </w:style>
  <w:style w:type="character" w:customStyle="1" w:styleId="SectorbodydotpointsChar">
    <w:name w:val="Sector body dot points Char"/>
    <w:basedOn w:val="SectorbodystatsChar"/>
    <w:link w:val="Sectorbodydotpoints"/>
    <w:rsid w:val="00300D9B"/>
    <w:rPr>
      <w:rFonts w:ascii="Gill Sans MT" w:hAnsi="Gill Sans MT"/>
    </w:rPr>
  </w:style>
  <w:style w:type="character" w:customStyle="1" w:styleId="BalloonTextChar">
    <w:name w:val="Balloon Text Char"/>
    <w:basedOn w:val="DefaultParagraphFont"/>
    <w:link w:val="BalloonText"/>
    <w:uiPriority w:val="99"/>
    <w:semiHidden/>
    <w:rsid w:val="00627E03"/>
    <w:rPr>
      <w:rFonts w:ascii="Tahoma" w:hAnsi="Tahoma" w:cs="Tahoma"/>
      <w:sz w:val="16"/>
      <w:szCs w:val="16"/>
    </w:rPr>
  </w:style>
  <w:style w:type="paragraph" w:customStyle="1" w:styleId="ColorfulList-Accent11">
    <w:name w:val="Colorful List - Accent 11"/>
    <w:basedOn w:val="Normal"/>
    <w:uiPriority w:val="34"/>
    <w:qFormat/>
    <w:rsid w:val="002E64FE"/>
    <w:pPr>
      <w:spacing w:before="200"/>
      <w:ind w:left="720"/>
      <w:contextualSpacing/>
      <w:jc w:val="both"/>
    </w:pPr>
    <w:rPr>
      <w:rFonts w:ascii="Calibri" w:eastAsia="Times New Roman" w:hAnsi="Calibri" w:cs="Times New Roman"/>
      <w:sz w:val="24"/>
      <w:szCs w:val="24"/>
      <w:lang w:bidi="en-US"/>
    </w:rPr>
  </w:style>
  <w:style w:type="paragraph" w:styleId="ListParagraph">
    <w:name w:val="List Paragraph"/>
    <w:basedOn w:val="Normal"/>
    <w:uiPriority w:val="34"/>
    <w:qFormat/>
    <w:rsid w:val="00B23B64"/>
    <w:pPr>
      <w:ind w:left="720"/>
      <w:contextualSpacing/>
    </w:pPr>
  </w:style>
  <w:style w:type="character" w:styleId="CommentReference">
    <w:name w:val="annotation reference"/>
    <w:basedOn w:val="DefaultParagraphFont"/>
    <w:uiPriority w:val="99"/>
    <w:semiHidden/>
    <w:unhideWhenUsed/>
    <w:rsid w:val="00F0466A"/>
    <w:rPr>
      <w:sz w:val="16"/>
      <w:szCs w:val="16"/>
    </w:rPr>
  </w:style>
  <w:style w:type="paragraph" w:styleId="CommentText">
    <w:name w:val="annotation text"/>
    <w:basedOn w:val="Normal"/>
    <w:link w:val="CommentTextChar"/>
    <w:uiPriority w:val="99"/>
    <w:semiHidden/>
    <w:unhideWhenUsed/>
    <w:rsid w:val="00F0466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0466A"/>
    <w:rPr>
      <w:rFonts w:ascii="Calibri" w:eastAsia="Calibri" w:hAnsi="Calibri" w:cs="Times New Roman"/>
      <w:sz w:val="20"/>
      <w:szCs w:val="20"/>
    </w:rPr>
  </w:style>
  <w:style w:type="paragraph" w:styleId="FootnoteText">
    <w:name w:val="footnote text"/>
    <w:basedOn w:val="Normal"/>
    <w:link w:val="FootnoteTextChar"/>
    <w:unhideWhenUsed/>
    <w:rsid w:val="000C535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C5351"/>
    <w:rPr>
      <w:rFonts w:ascii="Calibri" w:eastAsia="Calibri" w:hAnsi="Calibri" w:cs="Times New Roman"/>
      <w:sz w:val="20"/>
      <w:szCs w:val="20"/>
    </w:rPr>
  </w:style>
  <w:style w:type="character" w:styleId="FootnoteReference">
    <w:name w:val="footnote reference"/>
    <w:basedOn w:val="DefaultParagraphFont"/>
    <w:unhideWhenUsed/>
    <w:rsid w:val="000C5351"/>
    <w:rPr>
      <w:vertAlign w:val="superscript"/>
    </w:rPr>
  </w:style>
  <w:style w:type="paragraph" w:styleId="CommentSubject">
    <w:name w:val="annotation subject"/>
    <w:basedOn w:val="CommentText"/>
    <w:next w:val="CommentText"/>
    <w:link w:val="CommentSubjectChar"/>
    <w:uiPriority w:val="99"/>
    <w:semiHidden/>
    <w:unhideWhenUsed/>
    <w:rsid w:val="00E8025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8025B"/>
    <w:rPr>
      <w:rFonts w:ascii="Calibri" w:eastAsia="Calibri" w:hAnsi="Calibri" w:cs="Times New Roman"/>
      <w:b/>
      <w:bCs/>
      <w:sz w:val="20"/>
      <w:szCs w:val="20"/>
    </w:rPr>
  </w:style>
  <w:style w:type="paragraph" w:styleId="Revision">
    <w:name w:val="Revision"/>
    <w:hidden/>
    <w:uiPriority w:val="99"/>
    <w:semiHidden/>
    <w:rsid w:val="00481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0301">
      <w:bodyDiv w:val="1"/>
      <w:marLeft w:val="0"/>
      <w:marRight w:val="0"/>
      <w:marTop w:val="0"/>
      <w:marBottom w:val="0"/>
      <w:divBdr>
        <w:top w:val="none" w:sz="0" w:space="0" w:color="auto"/>
        <w:left w:val="none" w:sz="0" w:space="0" w:color="auto"/>
        <w:bottom w:val="none" w:sz="0" w:space="0" w:color="auto"/>
        <w:right w:val="none" w:sz="0" w:space="0" w:color="auto"/>
      </w:divBdr>
    </w:div>
    <w:div w:id="250507125">
      <w:bodyDiv w:val="1"/>
      <w:marLeft w:val="0"/>
      <w:marRight w:val="0"/>
      <w:marTop w:val="0"/>
      <w:marBottom w:val="0"/>
      <w:divBdr>
        <w:top w:val="none" w:sz="0" w:space="0" w:color="auto"/>
        <w:left w:val="none" w:sz="0" w:space="0" w:color="auto"/>
        <w:bottom w:val="none" w:sz="0" w:space="0" w:color="auto"/>
        <w:right w:val="none" w:sz="0" w:space="0" w:color="auto"/>
      </w:divBdr>
    </w:div>
    <w:div w:id="288636143">
      <w:bodyDiv w:val="1"/>
      <w:marLeft w:val="0"/>
      <w:marRight w:val="0"/>
      <w:marTop w:val="0"/>
      <w:marBottom w:val="0"/>
      <w:divBdr>
        <w:top w:val="none" w:sz="0" w:space="0" w:color="auto"/>
        <w:left w:val="none" w:sz="0" w:space="0" w:color="auto"/>
        <w:bottom w:val="none" w:sz="0" w:space="0" w:color="auto"/>
        <w:right w:val="none" w:sz="0" w:space="0" w:color="auto"/>
      </w:divBdr>
    </w:div>
    <w:div w:id="326641172">
      <w:bodyDiv w:val="1"/>
      <w:marLeft w:val="0"/>
      <w:marRight w:val="0"/>
      <w:marTop w:val="0"/>
      <w:marBottom w:val="0"/>
      <w:divBdr>
        <w:top w:val="none" w:sz="0" w:space="0" w:color="auto"/>
        <w:left w:val="none" w:sz="0" w:space="0" w:color="auto"/>
        <w:bottom w:val="none" w:sz="0" w:space="0" w:color="auto"/>
        <w:right w:val="none" w:sz="0" w:space="0" w:color="auto"/>
      </w:divBdr>
    </w:div>
    <w:div w:id="352417354">
      <w:bodyDiv w:val="1"/>
      <w:marLeft w:val="0"/>
      <w:marRight w:val="0"/>
      <w:marTop w:val="0"/>
      <w:marBottom w:val="0"/>
      <w:divBdr>
        <w:top w:val="none" w:sz="0" w:space="0" w:color="auto"/>
        <w:left w:val="none" w:sz="0" w:space="0" w:color="auto"/>
        <w:bottom w:val="none" w:sz="0" w:space="0" w:color="auto"/>
        <w:right w:val="none" w:sz="0" w:space="0" w:color="auto"/>
      </w:divBdr>
    </w:div>
    <w:div w:id="1450735159">
      <w:bodyDiv w:val="1"/>
      <w:marLeft w:val="0"/>
      <w:marRight w:val="0"/>
      <w:marTop w:val="0"/>
      <w:marBottom w:val="0"/>
      <w:divBdr>
        <w:top w:val="none" w:sz="0" w:space="0" w:color="auto"/>
        <w:left w:val="none" w:sz="0" w:space="0" w:color="auto"/>
        <w:bottom w:val="none" w:sz="0" w:space="0" w:color="auto"/>
        <w:right w:val="none" w:sz="0" w:space="0" w:color="auto"/>
      </w:divBdr>
    </w:div>
    <w:div w:id="16157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eddie/agency/stratpolrsrch/econresearchimpact/EDP%20Implementation/Key%20Project%20Documents/Project%20Plan%20EDP%20Implementation%202013-14%20-%202017-18/Sector%20Summaries%20Data%20v2_9%20Dec%202013%20Rods%20no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eddie/agency/stratpolrsrch/econresearchimpact/EDP%20Implementation/Key%20Project%20Documents/Project%20Plan%20EDP%20Implementation%202013-14%20-%202017-18/Sector%20Summaries%20Data%20v2_9%20Dec%202013%20Rods%20no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0.1739008249792228"/>
          <c:y val="0.2053271269718128"/>
          <c:w val="0.79677361186309514"/>
          <c:h val="0.60822687795735719"/>
        </c:manualLayout>
      </c:layout>
      <c:barChart>
        <c:barDir val="col"/>
        <c:grouping val="clustered"/>
        <c:varyColors val="0"/>
        <c:ser>
          <c:idx val="0"/>
          <c:order val="0"/>
          <c:tx>
            <c:strRef>
              <c:f>'Forestry and Related Products'!$B$2</c:f>
              <c:strCache>
                <c:ptCount val="1"/>
                <c:pt idx="0">
                  <c:v>Forestry and related products </c:v>
                </c:pt>
              </c:strCache>
            </c:strRef>
          </c:tx>
          <c:invertIfNegative val="0"/>
          <c:cat>
            <c:strRef>
              <c:f>'Forestry and Related Products'!$B$6:$B$8</c:f>
              <c:strCache>
                <c:ptCount val="3"/>
                <c:pt idx="0">
                  <c:v>Industry Value Add</c:v>
                </c:pt>
                <c:pt idx="1">
                  <c:v>Employment</c:v>
                </c:pt>
                <c:pt idx="2">
                  <c:v>International Exports</c:v>
                </c:pt>
              </c:strCache>
            </c:strRef>
          </c:cat>
          <c:val>
            <c:numRef>
              <c:f>'Forestry and Related Products'!$G$6:$G$8</c:f>
              <c:numCache>
                <c:formatCode>0.0%</c:formatCode>
                <c:ptCount val="3"/>
                <c:pt idx="0">
                  <c:v>2.371203115004979E-2</c:v>
                </c:pt>
                <c:pt idx="1">
                  <c:v>1.587339103470118E-2</c:v>
                </c:pt>
                <c:pt idx="2">
                  <c:v>4.2083429361604051E-2</c:v>
                </c:pt>
              </c:numCache>
            </c:numRef>
          </c:val>
        </c:ser>
        <c:dLbls>
          <c:showLegendKey val="0"/>
          <c:showVal val="0"/>
          <c:showCatName val="0"/>
          <c:showSerName val="0"/>
          <c:showPercent val="0"/>
          <c:showBubbleSize val="0"/>
        </c:dLbls>
        <c:gapWidth val="150"/>
        <c:axId val="206668000"/>
        <c:axId val="206477272"/>
      </c:barChart>
      <c:catAx>
        <c:axId val="206668000"/>
        <c:scaling>
          <c:orientation val="minMax"/>
        </c:scaling>
        <c:delete val="0"/>
        <c:axPos val="b"/>
        <c:numFmt formatCode="General" sourceLinked="0"/>
        <c:majorTickMark val="out"/>
        <c:minorTickMark val="none"/>
        <c:tickLblPos val="nextTo"/>
        <c:crossAx val="206477272"/>
        <c:crosses val="autoZero"/>
        <c:auto val="1"/>
        <c:lblAlgn val="ctr"/>
        <c:lblOffset val="100"/>
        <c:noMultiLvlLbl val="0"/>
      </c:catAx>
      <c:valAx>
        <c:axId val="206477272"/>
        <c:scaling>
          <c:orientation val="minMax"/>
        </c:scaling>
        <c:delete val="0"/>
        <c:axPos val="l"/>
        <c:majorGridlines/>
        <c:title>
          <c:tx>
            <c:rich>
              <a:bodyPr rot="-5400000" vert="horz"/>
              <a:lstStyle/>
              <a:p>
                <a:pPr>
                  <a:defRPr/>
                </a:pPr>
                <a:r>
                  <a:rPr lang="en-AU"/>
                  <a:t>Percentage of Tasmanian total</a:t>
                </a:r>
              </a:p>
            </c:rich>
          </c:tx>
          <c:layout>
            <c:manualLayout>
              <c:xMode val="edge"/>
              <c:yMode val="edge"/>
              <c:x val="1.9444444444444445E-2"/>
              <c:y val="0.17742308253135136"/>
            </c:manualLayout>
          </c:layout>
          <c:overlay val="0"/>
        </c:title>
        <c:numFmt formatCode="0.0%" sourceLinked="1"/>
        <c:majorTickMark val="out"/>
        <c:minorTickMark val="none"/>
        <c:tickLblPos val="nextTo"/>
        <c:crossAx val="206668000"/>
        <c:crosses val="autoZero"/>
        <c:crossBetween val="between"/>
      </c:valAx>
    </c:plotArea>
    <c:plotVisOnly val="1"/>
    <c:dispBlanksAs val="gap"/>
    <c:showDLblsOverMax val="0"/>
  </c:chart>
  <c:spPr>
    <a:ln>
      <a:noFill/>
    </a:ln>
  </c:spPr>
  <c:txPr>
    <a:bodyPr/>
    <a:lstStyle/>
    <a:p>
      <a:pPr>
        <a:defRPr>
          <a:latin typeface="Gill Sans MT"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9541657681484362E-3"/>
          <c:y val="0.21415393588621934"/>
          <c:w val="0.62667244984207482"/>
          <c:h val="0.63202862462704978"/>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'Forestry and Related Products'!$B$48:$B$51</c:f>
              <c:strCache>
                <c:ptCount val="4"/>
                <c:pt idx="0">
                  <c:v>North West</c:v>
                </c:pt>
                <c:pt idx="1">
                  <c:v>North</c:v>
                </c:pt>
                <c:pt idx="2">
                  <c:v>South</c:v>
                </c:pt>
                <c:pt idx="3">
                  <c:v>Other</c:v>
                </c:pt>
              </c:strCache>
            </c:strRef>
          </c:cat>
          <c:val>
            <c:numRef>
              <c:f>'Forestry and Related Products'!$D$48:$D$50</c:f>
              <c:numCache>
                <c:formatCode>0%</c:formatCode>
                <c:ptCount val="3"/>
                <c:pt idx="0">
                  <c:v>0.21357498223169863</c:v>
                </c:pt>
                <c:pt idx="1">
                  <c:v>0.34790334044065385</c:v>
                </c:pt>
                <c:pt idx="2">
                  <c:v>0.43852167732764746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906134614529121"/>
          <c:y val="0.30476119972182963"/>
          <c:w val="0.24397396513776584"/>
          <c:h val="0.53867547806524185"/>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5CF95164C3409500FCE3A0182A46" ma:contentTypeVersion="0" ma:contentTypeDescription="Create a new document." ma:contentTypeScope="" ma:versionID="b2cf4e97016ff48f5274f448cd441c84">
  <xsd:schema xmlns:xsd="http://www.w3.org/2001/XMLSchema" xmlns:xs="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9042-C494-42B6-B132-272BFFC49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55C90-6504-4B5B-9E05-A12FB526ACB8}">
  <ds:schemaRefs>
    <ds:schemaRef ds:uri="http://schemas.microsoft.com/sharepoint/v3/contenttype/forms"/>
  </ds:schemaRefs>
</ds:datastoreItem>
</file>

<file path=customXml/itemProps3.xml><?xml version="1.0" encoding="utf-8"?>
<ds:datastoreItem xmlns:ds="http://schemas.openxmlformats.org/officeDocument/2006/customXml" ds:itemID="{6CAB9368-E1E1-4F01-A357-9A8419276E40}">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B9DE90B-0516-45DA-8ADB-378DACC3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479E01ED.dotm</Template>
  <TotalTime>0</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Dept of Economic Development, Tourism &amp; the Arts</Company>
  <LinksUpToDate>false</LinksUpToDate>
  <CharactersWithSpaces>12071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Thomas</dc:creator>
  <cp:lastModifiedBy>Bevilacqua, Robyn</cp:lastModifiedBy>
  <cp:revision>2</cp:revision>
  <cp:lastPrinted>2014-01-17T01:35:00Z</cp:lastPrinted>
  <dcterms:created xsi:type="dcterms:W3CDTF">2014-07-02T03:46:00Z</dcterms:created>
  <dcterms:modified xsi:type="dcterms:W3CDTF">2014-07-02T03:46:00Z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0x010100A8C55CF95164C3409500FCE3A0182A46</vt:lpwstr>
  </property>
</Properties>
</file>